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1A513" w14:textId="222DC5DC" w:rsidR="004E5F12" w:rsidRPr="002B34F1" w:rsidRDefault="004E5F12" w:rsidP="00FA7EF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74068278" w14:textId="2D1D1E5A" w:rsidR="004E5F12" w:rsidRPr="002B34F1" w:rsidRDefault="00180132" w:rsidP="001801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  <w:r>
        <w:rPr>
          <w:rFonts w:ascii="Times New Roman" w:hAnsi="Times New Roman" w:cs="Times New Roman"/>
          <w:b/>
          <w:sz w:val="28"/>
          <w:szCs w:val="28"/>
          <w:lang w:val="sr-Cyrl-BA"/>
        </w:rPr>
        <w:br w:type="textWrapping" w:clear="all"/>
      </w:r>
    </w:p>
    <w:p w14:paraId="6F7F8406" w14:textId="77777777" w:rsidR="004E5F12" w:rsidRPr="002B34F1" w:rsidRDefault="004E5F12" w:rsidP="00FA7E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09F8BAEA" w14:textId="77777777" w:rsidR="00FA7EFD" w:rsidRPr="002B34F1" w:rsidRDefault="00FA7EFD" w:rsidP="00FA7E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262769AB" w14:textId="77777777" w:rsidR="00FA7EFD" w:rsidRPr="002B34F1" w:rsidRDefault="00FA7EFD" w:rsidP="00FA7E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510D839C" w14:textId="77777777" w:rsidR="00FA7EFD" w:rsidRPr="002B34F1" w:rsidRDefault="00FA7EFD" w:rsidP="00FA7E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0E7EE43F" w14:textId="77777777" w:rsidR="00FA7EFD" w:rsidRPr="002B34F1" w:rsidRDefault="00FA7EFD" w:rsidP="00FA7E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3506FFEE" w14:textId="77777777" w:rsidR="004E5F12" w:rsidRPr="002B34F1" w:rsidRDefault="004E5F12" w:rsidP="00FA7EF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68952C65" w14:textId="77777777" w:rsidR="004E5F12" w:rsidRPr="002B34F1" w:rsidRDefault="004E5F12" w:rsidP="00FA7EF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3DD4FDDA" w14:textId="77777777" w:rsidR="004E5F12" w:rsidRPr="002B34F1" w:rsidRDefault="004E5F12" w:rsidP="00FA7EF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2F1B61E6" w14:textId="77777777" w:rsidR="004E5F12" w:rsidRPr="002B34F1" w:rsidRDefault="004E5F12" w:rsidP="00FA7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2B34F1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ПРОГРАМ ФИСКАЛНЕ КОНСОЛИДАЦИЈЕ </w:t>
      </w:r>
    </w:p>
    <w:p w14:paraId="488775E4" w14:textId="77777777" w:rsidR="004E5F12" w:rsidRPr="002B34F1" w:rsidRDefault="004E5F12" w:rsidP="00FA7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2B34F1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ЗА ПЕРИОД </w:t>
      </w:r>
      <w:r w:rsidR="002B34F1" w:rsidRPr="002B34F1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2024–</w:t>
      </w:r>
      <w:r w:rsidRPr="002B34F1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2026. ГОДИН</w:t>
      </w:r>
      <w:r w:rsidR="001151EC" w:rsidRPr="002B34F1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Е</w:t>
      </w:r>
    </w:p>
    <w:p w14:paraId="0FC294A8" w14:textId="77777777" w:rsidR="004E5F12" w:rsidRPr="002B34F1" w:rsidRDefault="004E5F12">
      <w:pPr>
        <w:rPr>
          <w:rFonts w:ascii="Times New Roman" w:hAnsi="Times New Roman" w:cs="Times New Roman"/>
          <w:b/>
          <w:sz w:val="26"/>
          <w:szCs w:val="26"/>
          <w:u w:val="single"/>
          <w:lang w:val="sr-Cyrl-BA"/>
        </w:rPr>
      </w:pPr>
    </w:p>
    <w:p w14:paraId="36CDA8EE" w14:textId="77777777" w:rsidR="004E5F12" w:rsidRPr="002B34F1" w:rsidRDefault="004E5F12" w:rsidP="004E5F12">
      <w:pPr>
        <w:rPr>
          <w:rFonts w:ascii="Times New Roman" w:hAnsi="Times New Roman" w:cs="Times New Roman"/>
          <w:b/>
          <w:sz w:val="26"/>
          <w:szCs w:val="26"/>
          <w:u w:val="single"/>
          <w:lang w:val="sr-Cyrl-BA"/>
        </w:rPr>
      </w:pPr>
    </w:p>
    <w:p w14:paraId="0AD67946" w14:textId="77777777" w:rsidR="004E5F12" w:rsidRPr="002B34F1" w:rsidRDefault="004E5F12" w:rsidP="004E5F12">
      <w:pPr>
        <w:rPr>
          <w:rFonts w:ascii="Times New Roman" w:hAnsi="Times New Roman" w:cs="Times New Roman"/>
          <w:b/>
          <w:sz w:val="26"/>
          <w:szCs w:val="26"/>
          <w:u w:val="single"/>
          <w:lang w:val="sr-Cyrl-BA"/>
        </w:rPr>
      </w:pPr>
    </w:p>
    <w:p w14:paraId="60F7187E" w14:textId="77777777" w:rsidR="004E5F12" w:rsidRPr="002B34F1" w:rsidRDefault="004E5F12" w:rsidP="004E5F12">
      <w:pPr>
        <w:rPr>
          <w:rFonts w:ascii="Times New Roman" w:hAnsi="Times New Roman" w:cs="Times New Roman"/>
          <w:b/>
          <w:sz w:val="26"/>
          <w:szCs w:val="26"/>
          <w:u w:val="single"/>
          <w:lang w:val="sr-Cyrl-BA"/>
        </w:rPr>
      </w:pPr>
    </w:p>
    <w:p w14:paraId="02737E1B" w14:textId="77777777" w:rsidR="004E5F12" w:rsidRPr="002B34F1" w:rsidRDefault="004E5F12" w:rsidP="004E5F12">
      <w:pPr>
        <w:rPr>
          <w:rFonts w:ascii="Times New Roman" w:hAnsi="Times New Roman" w:cs="Times New Roman"/>
          <w:b/>
          <w:sz w:val="26"/>
          <w:szCs w:val="26"/>
          <w:u w:val="single"/>
          <w:lang w:val="sr-Cyrl-BA"/>
        </w:rPr>
      </w:pPr>
    </w:p>
    <w:p w14:paraId="23B98D9A" w14:textId="77777777" w:rsidR="004E5F12" w:rsidRPr="002B34F1" w:rsidRDefault="004E5F12" w:rsidP="004E5F12">
      <w:pPr>
        <w:rPr>
          <w:rFonts w:ascii="Times New Roman" w:hAnsi="Times New Roman" w:cs="Times New Roman"/>
          <w:b/>
          <w:sz w:val="26"/>
          <w:szCs w:val="26"/>
          <w:u w:val="single"/>
          <w:lang w:val="sr-Cyrl-BA"/>
        </w:rPr>
      </w:pPr>
    </w:p>
    <w:p w14:paraId="207A24D7" w14:textId="77777777" w:rsidR="004E5F12" w:rsidRPr="002B34F1" w:rsidRDefault="004E5F12" w:rsidP="004E5F12">
      <w:pPr>
        <w:rPr>
          <w:rFonts w:ascii="Times New Roman" w:hAnsi="Times New Roman" w:cs="Times New Roman"/>
          <w:b/>
          <w:sz w:val="26"/>
          <w:szCs w:val="26"/>
          <w:u w:val="single"/>
          <w:lang w:val="sr-Cyrl-BA"/>
        </w:rPr>
      </w:pPr>
    </w:p>
    <w:p w14:paraId="08E4190F" w14:textId="77777777" w:rsidR="004E5F12" w:rsidRPr="002B34F1" w:rsidRDefault="004E5F12" w:rsidP="004E5F12">
      <w:pPr>
        <w:rPr>
          <w:rFonts w:ascii="Times New Roman" w:hAnsi="Times New Roman" w:cs="Times New Roman"/>
          <w:b/>
          <w:sz w:val="26"/>
          <w:szCs w:val="26"/>
          <w:u w:val="single"/>
          <w:lang w:val="sr-Cyrl-BA"/>
        </w:rPr>
      </w:pPr>
    </w:p>
    <w:p w14:paraId="31A21CD5" w14:textId="512221DC" w:rsidR="004E5F12" w:rsidRDefault="004E5F12" w:rsidP="004E5F12">
      <w:pPr>
        <w:rPr>
          <w:rFonts w:ascii="Times New Roman" w:hAnsi="Times New Roman" w:cs="Times New Roman"/>
          <w:b/>
          <w:sz w:val="26"/>
          <w:szCs w:val="26"/>
          <w:u w:val="single"/>
          <w:lang w:val="sr-Cyrl-BA"/>
        </w:rPr>
      </w:pPr>
    </w:p>
    <w:p w14:paraId="2579D37C" w14:textId="4DB2F85D" w:rsidR="00180132" w:rsidRDefault="00180132" w:rsidP="004E5F12">
      <w:pPr>
        <w:rPr>
          <w:rFonts w:ascii="Times New Roman" w:hAnsi="Times New Roman" w:cs="Times New Roman"/>
          <w:b/>
          <w:sz w:val="26"/>
          <w:szCs w:val="26"/>
          <w:u w:val="single"/>
          <w:lang w:val="sr-Cyrl-BA"/>
        </w:rPr>
      </w:pPr>
    </w:p>
    <w:p w14:paraId="65EEEA17" w14:textId="19975A30" w:rsidR="00180132" w:rsidRDefault="00180132" w:rsidP="004E5F12">
      <w:pPr>
        <w:rPr>
          <w:rFonts w:ascii="Times New Roman" w:hAnsi="Times New Roman" w:cs="Times New Roman"/>
          <w:b/>
          <w:sz w:val="26"/>
          <w:szCs w:val="26"/>
          <w:u w:val="single"/>
          <w:lang w:val="sr-Cyrl-BA"/>
        </w:rPr>
      </w:pPr>
    </w:p>
    <w:p w14:paraId="5E6B9124" w14:textId="5FAC0AA3" w:rsidR="00180132" w:rsidRDefault="00180132" w:rsidP="004E5F12">
      <w:pPr>
        <w:rPr>
          <w:rFonts w:ascii="Times New Roman" w:hAnsi="Times New Roman" w:cs="Times New Roman"/>
          <w:b/>
          <w:sz w:val="26"/>
          <w:szCs w:val="26"/>
          <w:u w:val="single"/>
          <w:lang w:val="sr-Cyrl-BA"/>
        </w:rPr>
      </w:pPr>
    </w:p>
    <w:p w14:paraId="6620F304" w14:textId="77777777" w:rsidR="00180132" w:rsidRPr="002B34F1" w:rsidRDefault="00180132" w:rsidP="004E5F12">
      <w:pPr>
        <w:rPr>
          <w:rFonts w:ascii="Times New Roman" w:hAnsi="Times New Roman" w:cs="Times New Roman"/>
          <w:b/>
          <w:sz w:val="26"/>
          <w:szCs w:val="26"/>
          <w:u w:val="single"/>
          <w:lang w:val="sr-Cyrl-BA"/>
        </w:rPr>
      </w:pPr>
    </w:p>
    <w:p w14:paraId="3338DCB0" w14:textId="77777777" w:rsidR="004E5F12" w:rsidRPr="002B34F1" w:rsidRDefault="004E5F12" w:rsidP="004E5F12">
      <w:pPr>
        <w:rPr>
          <w:rFonts w:ascii="Times New Roman" w:hAnsi="Times New Roman" w:cs="Times New Roman"/>
          <w:b/>
          <w:sz w:val="26"/>
          <w:szCs w:val="26"/>
          <w:u w:val="single"/>
          <w:lang w:val="sr-Cyrl-BA"/>
        </w:rPr>
      </w:pPr>
    </w:p>
    <w:p w14:paraId="27772674" w14:textId="77777777" w:rsidR="004E5F12" w:rsidRPr="002B34F1" w:rsidRDefault="004E5F12" w:rsidP="004E5F12">
      <w:pPr>
        <w:rPr>
          <w:rFonts w:ascii="Times New Roman" w:hAnsi="Times New Roman" w:cs="Times New Roman"/>
          <w:b/>
          <w:sz w:val="26"/>
          <w:szCs w:val="26"/>
          <w:u w:val="single"/>
          <w:lang w:val="sr-Cyrl-BA"/>
        </w:rPr>
      </w:pPr>
    </w:p>
    <w:p w14:paraId="210AF3CE" w14:textId="77777777" w:rsidR="004E5F12" w:rsidRPr="002B34F1" w:rsidRDefault="004E5F12" w:rsidP="004E5F12">
      <w:pPr>
        <w:rPr>
          <w:rFonts w:ascii="Times New Roman" w:hAnsi="Times New Roman" w:cs="Times New Roman"/>
          <w:b/>
          <w:sz w:val="26"/>
          <w:szCs w:val="26"/>
          <w:u w:val="single"/>
          <w:lang w:val="sr-Cyrl-BA"/>
        </w:rPr>
      </w:pPr>
    </w:p>
    <w:p w14:paraId="3C37DA23" w14:textId="77777777" w:rsidR="004E5F12" w:rsidRPr="002B34F1" w:rsidRDefault="004E5F12" w:rsidP="004E5F12">
      <w:pPr>
        <w:rPr>
          <w:rFonts w:ascii="Times New Roman" w:hAnsi="Times New Roman" w:cs="Times New Roman"/>
          <w:b/>
          <w:sz w:val="26"/>
          <w:szCs w:val="26"/>
          <w:u w:val="single"/>
          <w:lang w:val="sr-Cyrl-BA"/>
        </w:rPr>
      </w:pPr>
    </w:p>
    <w:p w14:paraId="45B84250" w14:textId="77777777" w:rsidR="004E5F12" w:rsidRPr="002B34F1" w:rsidRDefault="004E5F12" w:rsidP="004E5F12">
      <w:pPr>
        <w:rPr>
          <w:rFonts w:ascii="Times New Roman" w:hAnsi="Times New Roman" w:cs="Times New Roman"/>
          <w:b/>
          <w:sz w:val="26"/>
          <w:szCs w:val="26"/>
          <w:u w:val="single"/>
          <w:lang w:val="sr-Cyrl-BA"/>
        </w:rPr>
      </w:pPr>
    </w:p>
    <w:p w14:paraId="48D4C97C" w14:textId="425A6DA9" w:rsidR="004E5F12" w:rsidRPr="002B34F1" w:rsidRDefault="004E5F12" w:rsidP="004E5F12">
      <w:pPr>
        <w:jc w:val="center"/>
        <w:rPr>
          <w:rFonts w:ascii="Times New Roman" w:hAnsi="Times New Roman" w:cs="Times New Roman"/>
          <w:b/>
          <w:sz w:val="26"/>
          <w:szCs w:val="26"/>
          <w:lang w:val="sr-Cyrl-BA"/>
        </w:rPr>
      </w:pPr>
    </w:p>
    <w:p w14:paraId="26426C65" w14:textId="77777777" w:rsidR="004E5F12" w:rsidRPr="002B34F1" w:rsidRDefault="004E5F12">
      <w:pP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14:paraId="5D452A11" w14:textId="77777777" w:rsidR="00574F3E" w:rsidRPr="002B34F1" w:rsidRDefault="00574F3E" w:rsidP="007961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  <w:r w:rsidRPr="002B34F1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lastRenderedPageBreak/>
        <w:t>УВОД</w:t>
      </w:r>
    </w:p>
    <w:p w14:paraId="416BC40A" w14:textId="77777777" w:rsidR="007961F0" w:rsidRPr="002B34F1" w:rsidRDefault="007961F0" w:rsidP="007961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14:paraId="5E4C82C1" w14:textId="77777777" w:rsidR="00DF6706" w:rsidRPr="002B34F1" w:rsidRDefault="005E2018" w:rsidP="00796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>Програм фискалне консолидације</w:t>
      </w:r>
      <w:r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који је </w:t>
      </w:r>
      <w:r w:rsidR="00463C5F" w:rsidRPr="002B34F1">
        <w:rPr>
          <w:rFonts w:ascii="Times New Roman" w:hAnsi="Times New Roman" w:cs="Times New Roman"/>
          <w:sz w:val="24"/>
          <w:szCs w:val="24"/>
          <w:lang w:val="sr-Cyrl-BA"/>
        </w:rPr>
        <w:t>Народна скупштина Републике Српске усвојила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на 18. редовној сједници</w:t>
      </w:r>
      <w:r w:rsidR="00EE0EB5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, одржаној 7. октобра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2021. године</w:t>
      </w:r>
      <w:r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3D7297" w:rsidRPr="002B34F1">
        <w:rPr>
          <w:rFonts w:ascii="Times New Roman" w:hAnsi="Times New Roman" w:cs="Times New Roman"/>
          <w:sz w:val="24"/>
          <w:szCs w:val="24"/>
          <w:lang w:val="sr-Cyrl-BA"/>
        </w:rPr>
        <w:t>(„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Службени гласник Републике Српске</w:t>
      </w:r>
      <w:r w:rsidR="003D7297" w:rsidRPr="002B34F1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2B34F1">
        <w:rPr>
          <w:rFonts w:ascii="Times New Roman" w:hAnsi="Times New Roman" w:cs="Times New Roman"/>
          <w:bCs/>
          <w:iCs/>
          <w:sz w:val="24"/>
          <w:szCs w:val="24"/>
          <w:lang w:val="sr-Cyrl-BA"/>
        </w:rPr>
        <w:t>број 94/21)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за период 2021</w:t>
      </w:r>
      <w:r w:rsidR="00EE0EB5" w:rsidRPr="002B34F1">
        <w:rPr>
          <w:rFonts w:ascii="Times New Roman" w:hAnsi="Times New Roman" w:cs="Times New Roman"/>
          <w:sz w:val="24"/>
          <w:szCs w:val="24"/>
          <w:lang w:val="sr-Cyrl-BA"/>
        </w:rPr>
        <w:t>–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2023. године</w:t>
      </w:r>
      <w:r w:rsidR="00EE0EB5" w:rsidRPr="002B34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рађен је уз претпоставку да се ситуација са вирусом корона стабилизује и да се постепено вратимо у нормалне економске и привредне токове.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Међутим, иако се број </w:t>
      </w:r>
      <w:proofErr w:type="spellStart"/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обољелих</w:t>
      </w:r>
      <w:proofErr w:type="spellEnd"/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од ковида у 2021</w:t>
      </w:r>
      <w:r w:rsidR="00B26235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</w:t>
      </w:r>
      <w:r w:rsidR="00B26235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2022. години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смањивао, Република </w:t>
      </w:r>
      <w:r w:rsidR="00417B71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Српска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се и даље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суочавала са негативним ефектима корона кризе и спроводила мјере за њихово ублажавање. </w:t>
      </w:r>
    </w:p>
    <w:p w14:paraId="38411F20" w14:textId="77777777" w:rsidR="005E2018" w:rsidRPr="002B34F1" w:rsidRDefault="005E2018" w:rsidP="00796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Већ </w:t>
      </w:r>
      <w:r w:rsidR="00AF238D" w:rsidRPr="002B34F1">
        <w:rPr>
          <w:rFonts w:ascii="Times New Roman" w:hAnsi="Times New Roman" w:cs="Times New Roman"/>
          <w:sz w:val="24"/>
          <w:szCs w:val="24"/>
          <w:lang w:val="sr-Cyrl-BA"/>
        </w:rPr>
        <w:t>у току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2021. године биљежи се раст привредне активности што се одражавало</w:t>
      </w:r>
      <w:r w:rsidR="00DF6706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и на макроекономске показатеље. </w:t>
      </w:r>
      <w:r w:rsidR="00DB64B8" w:rsidRPr="002B34F1">
        <w:rPr>
          <w:rFonts w:ascii="Times New Roman" w:hAnsi="Times New Roman" w:cs="Times New Roman"/>
          <w:sz w:val="24"/>
          <w:szCs w:val="24"/>
          <w:lang w:val="sr-Cyrl-BA"/>
        </w:rPr>
        <w:t>Очекивао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се</w:t>
      </w:r>
      <w:r w:rsidR="00534C5A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даљи опоравак привредне </w:t>
      </w:r>
      <w:r w:rsidR="00BB584E" w:rsidRPr="002B34F1">
        <w:rPr>
          <w:rFonts w:ascii="Times New Roman" w:hAnsi="Times New Roman" w:cs="Times New Roman"/>
          <w:sz w:val="24"/>
          <w:szCs w:val="24"/>
          <w:lang w:val="sr-Cyrl-BA"/>
        </w:rPr>
        <w:t>активности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уз позитиван допринос потрошње и инвестиција. </w:t>
      </w:r>
    </w:p>
    <w:p w14:paraId="3553CF84" w14:textId="77777777" w:rsidR="00B01B15" w:rsidRPr="002B34F1" w:rsidRDefault="00B01B15" w:rsidP="007961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B4CB9F7" w14:textId="77777777" w:rsidR="00B01B15" w:rsidRPr="002B34F1" w:rsidRDefault="00B01B15" w:rsidP="007961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Међутим, већ од фебруара 2022. године због дешавања у Украјини дошло је до стварања нове кризе и економских </w:t>
      </w:r>
      <w:r w:rsidR="00DB64B8" w:rsidRPr="002B34F1">
        <w:rPr>
          <w:rFonts w:ascii="Times New Roman" w:hAnsi="Times New Roman" w:cs="Times New Roman"/>
          <w:sz w:val="24"/>
          <w:szCs w:val="24"/>
          <w:lang w:val="sr-Cyrl-BA"/>
        </w:rPr>
        <w:t>неизвјесности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у читавом свијету. Наведена дешавања била су </w:t>
      </w:r>
      <w:r w:rsidR="00AF238D" w:rsidRPr="002B34F1">
        <w:rPr>
          <w:rFonts w:ascii="Times New Roman" w:hAnsi="Times New Roman" w:cs="Times New Roman"/>
          <w:sz w:val="24"/>
          <w:szCs w:val="24"/>
          <w:lang w:val="sr-Cyrl-BA"/>
        </w:rPr>
        <w:t>разлог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нагл</w:t>
      </w:r>
      <w:r w:rsidR="00AF238D" w:rsidRPr="002B34F1">
        <w:rPr>
          <w:rFonts w:ascii="Times New Roman" w:hAnsi="Times New Roman" w:cs="Times New Roman"/>
          <w:sz w:val="24"/>
          <w:szCs w:val="24"/>
          <w:lang w:val="sr-Cyrl-BA"/>
        </w:rPr>
        <w:t>ог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раст</w:t>
      </w:r>
      <w:r w:rsidR="00AF238D" w:rsidRPr="002B34F1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цијена, у енергетској и прехрамбеној индустрији, што је довело до глобалне инфлације која се у великом дијелу одразила и на економске прилике у Републици Српској.</w:t>
      </w:r>
    </w:p>
    <w:p w14:paraId="79872FB7" w14:textId="77777777" w:rsidR="00B01B15" w:rsidRPr="002B34F1" w:rsidRDefault="00B01B15" w:rsidP="007961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23E6A67" w14:textId="77777777" w:rsidR="007F5BF2" w:rsidRPr="002B34F1" w:rsidRDefault="00837847" w:rsidP="007961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Влада Републике Српске је у 2022. години предузела читав низ мјера с циљем да </w:t>
      </w:r>
      <w:r w:rsidR="007F5BF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одржи стандард грађана и спријечи настанак </w:t>
      </w:r>
      <w:r w:rsidR="00DB64B8" w:rsidRPr="002B34F1">
        <w:rPr>
          <w:rFonts w:ascii="Times New Roman" w:hAnsi="Times New Roman" w:cs="Times New Roman"/>
          <w:sz w:val="24"/>
          <w:szCs w:val="24"/>
          <w:lang w:val="sr-Cyrl-BA"/>
        </w:rPr>
        <w:t>озбиљних поремећаја на тржишту, те да</w:t>
      </w:r>
      <w:r w:rsidR="007F5BF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на тај начин ублажи ефекте инфлације и на одређени начин </w:t>
      </w:r>
      <w:r w:rsidR="00AF238D" w:rsidRPr="002B34F1">
        <w:rPr>
          <w:rFonts w:ascii="Times New Roman" w:hAnsi="Times New Roman" w:cs="Times New Roman"/>
          <w:sz w:val="24"/>
          <w:szCs w:val="24"/>
          <w:lang w:val="sr-Cyrl-BA"/>
        </w:rPr>
        <w:t>одржи куповну</w:t>
      </w:r>
      <w:r w:rsidR="009A575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моћ становништва</w:t>
      </w:r>
      <w:r w:rsidR="007F5BF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. Спровођење мјера Владе одразило се </w:t>
      </w:r>
      <w:r w:rsidR="004731D0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и </w:t>
      </w:r>
      <w:r w:rsidR="007F5BF2" w:rsidRPr="002B34F1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4731D0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B64B8" w:rsidRPr="002B34F1">
        <w:rPr>
          <w:rFonts w:ascii="Times New Roman" w:hAnsi="Times New Roman" w:cs="Times New Roman"/>
          <w:sz w:val="24"/>
          <w:szCs w:val="24"/>
          <w:lang w:val="sr-Cyrl-BA"/>
        </w:rPr>
        <w:t>фискалне показатеље</w:t>
      </w:r>
      <w:r w:rsidR="007F5BF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кроз повећање расхода, што се у коначници одразило на високо учешће консолидованог буџетског дефицита у БДП</w:t>
      </w:r>
      <w:r w:rsidR="00FA1666" w:rsidRPr="002B34F1">
        <w:rPr>
          <w:rFonts w:ascii="Times New Roman" w:hAnsi="Times New Roman" w:cs="Times New Roman"/>
          <w:sz w:val="24"/>
          <w:szCs w:val="24"/>
          <w:lang w:val="sr-Cyrl-BA"/>
        </w:rPr>
        <w:t>-у (на крају 2022. године) од 3,</w:t>
      </w:r>
      <w:r w:rsidR="008951ED" w:rsidRPr="002B34F1">
        <w:rPr>
          <w:rFonts w:ascii="Times New Roman" w:hAnsi="Times New Roman" w:cs="Times New Roman"/>
          <w:sz w:val="24"/>
          <w:szCs w:val="24"/>
          <w:lang w:val="sr-Cyrl-BA"/>
        </w:rPr>
        <w:t>21</w:t>
      </w:r>
      <w:r w:rsidR="007F5BF2" w:rsidRPr="002B34F1">
        <w:rPr>
          <w:rFonts w:ascii="Times New Roman" w:hAnsi="Times New Roman" w:cs="Times New Roman"/>
          <w:sz w:val="24"/>
          <w:szCs w:val="24"/>
          <w:lang w:val="sr-Cyrl-BA"/>
        </w:rPr>
        <w:t>%, те се прешао праг консолидованог буџетског дефицита од 3%</w:t>
      </w:r>
      <w:r w:rsidR="00DB64B8" w:rsidRPr="002B34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7F5BF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који је прописан Законом о фискалној одговорности </w:t>
      </w:r>
      <w:r w:rsidR="007F5BF2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(„Службени гласник Републике Српске“, бр. 94/15 и 62/18)</w:t>
      </w:r>
      <w:r w:rsidR="007F5BF2" w:rsidRPr="002B34F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F84D30D" w14:textId="77777777" w:rsidR="005E2018" w:rsidRPr="002B34F1" w:rsidRDefault="005E2018" w:rsidP="007961F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14:paraId="65A16732" w14:textId="77777777" w:rsidR="00DB64B8" w:rsidRPr="002B34F1" w:rsidRDefault="00BE1644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Законом о фискалној одговорности Републике Српске уређују се фискална правила, мјере и процедуре на основу којих се успоставља фискални оквир, ограничава јавна потрошња, јача одговорност за ефикасно и ефективно коришћење буџетских средстава, оснива Фискални савјет Републике Српске и јача систем контрола и надзора. Циљ доношења овог закона је осигурање и одржавање фискалне одговорности, транспарентности и средњорочне и дугорочне фискалне одрживости Републике Српске. Законом о фискалној одговорности Републике Српске дефинисана су општа и посебна фискална правила. Општа фискална правила односе се на укупан буџетски систем Републике Српске и одређују:</w:t>
      </w:r>
    </w:p>
    <w:p w14:paraId="7C00E252" w14:textId="77777777" w:rsidR="00DB64B8" w:rsidRPr="002B34F1" w:rsidRDefault="00DB64B8" w:rsidP="007961F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1. п</w:t>
      </w:r>
      <w:r w:rsidR="000220AA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равило о дугу: </w:t>
      </w:r>
      <w:r w:rsidR="00B92AB0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Ј</w:t>
      </w:r>
      <w:r w:rsidR="00BE1644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авни дуг Републике Српске на крају фискалне године не може да буде већи од 55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% оствареног БДП-а у тој години;</w:t>
      </w:r>
    </w:p>
    <w:p w14:paraId="48F758FA" w14:textId="77777777" w:rsidR="00BE1644" w:rsidRPr="002B34F1" w:rsidRDefault="00DB64B8" w:rsidP="007961F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2. п</w:t>
      </w:r>
      <w:r w:rsidR="00BE1644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равило конс</w:t>
      </w:r>
      <w:r w:rsidR="00B92AB0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олидованог буџетског дефицита: К</w:t>
      </w:r>
      <w:r w:rsidR="00BE1644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онсолидовани буџетски дефицит на крају фискалне године не може бити већи од 3% оствареног БДП-а у тој години.</w:t>
      </w:r>
    </w:p>
    <w:p w14:paraId="541D4BF5" w14:textId="77777777" w:rsidR="00BE1644" w:rsidRPr="002B34F1" w:rsidRDefault="00BE1644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02F7C761" w14:textId="77777777" w:rsidR="00DB64B8" w:rsidRPr="002B34F1" w:rsidRDefault="00BE1644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Посебна фискална правила представљају обавезујуће, аутоматске мјере ук</w:t>
      </w:r>
      <w:r w:rsidR="001A7820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олико индикатори исказани овим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фискалним правилима достигну вриједносне прагове дефинисане овим законом и одређују: </w:t>
      </w:r>
    </w:p>
    <w:p w14:paraId="76A891C0" w14:textId="77777777" w:rsidR="00DB64B8" w:rsidRPr="002B34F1" w:rsidRDefault="00DB64B8" w:rsidP="007961F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1. п</w:t>
      </w:r>
      <w:r w:rsidR="00BE1644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раг за дуг подразумијева да уколико јавни дуг Републике Српске на крају фискалне године достигне 50% оствареног БДП-а у тој години, буџет за наредну годину мора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да буде са буџетским суфицитом;</w:t>
      </w:r>
    </w:p>
    <w:p w14:paraId="3BEC77D3" w14:textId="77777777" w:rsidR="00BE1644" w:rsidRPr="002B34F1" w:rsidRDefault="00DB64B8" w:rsidP="007961F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>2. п</w:t>
      </w:r>
      <w:r w:rsidR="00BE1644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раг за консолидовани буџетски дефицит подразумијева да уколико консолидовани буџетски дефицит на к</w:t>
      </w:r>
      <w:r w:rsidR="00E81383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рају фискалне године достигне 2,</w:t>
      </w:r>
      <w:r w:rsidR="00BE1644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5% оствареног БДП-а у тој години, буџет за наредну годину мора да буде са буџетским суфицитом.</w:t>
      </w:r>
    </w:p>
    <w:p w14:paraId="79BDBAFB" w14:textId="77777777" w:rsidR="008247E0" w:rsidRPr="002B34F1" w:rsidRDefault="008247E0" w:rsidP="007961F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BA"/>
        </w:rPr>
      </w:pPr>
    </w:p>
    <w:p w14:paraId="7EBB2D82" w14:textId="77777777" w:rsidR="00574F3E" w:rsidRPr="002B34F1" w:rsidRDefault="00574F3E" w:rsidP="00796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Влада Републике Српске је</w:t>
      </w:r>
      <w:r w:rsidR="00DB64B8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у складу с чланом 8</w:t>
      </w:r>
      <w:r w:rsidR="00E62960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DB64B8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Закона о фискалној одговорности, 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сачинила</w:t>
      </w:r>
      <w:r w:rsidR="00534C5A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DB64B8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Програм фискалне консолидације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којим</w:t>
      </w:r>
      <w:r w:rsidR="00534C5A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дефинише мјере и период повратка у оквире фискалних правила који су прописани </w:t>
      </w:r>
      <w:r w:rsidR="00E918B7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овим </w:t>
      </w:r>
      <w:r w:rsidR="00DB64B8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з</w:t>
      </w:r>
      <w:r w:rsidR="00E918B7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аконом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</w:t>
      </w:r>
    </w:p>
    <w:p w14:paraId="6DCDDE04" w14:textId="77777777" w:rsidR="00574F3E" w:rsidRPr="002B34F1" w:rsidRDefault="00574F3E" w:rsidP="007961F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BA"/>
        </w:rPr>
      </w:pPr>
    </w:p>
    <w:p w14:paraId="0DCB4128" w14:textId="77777777" w:rsidR="00574F3E" w:rsidRPr="002B34F1" w:rsidRDefault="00574F3E" w:rsidP="00796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У моменту израде Програма још увијек је висок степен ризика који произлази из </w:t>
      </w:r>
      <w:r w:rsidR="00DB64B8" w:rsidRPr="002B34F1">
        <w:rPr>
          <w:rFonts w:ascii="Times New Roman" w:hAnsi="Times New Roman" w:cs="Times New Roman"/>
          <w:sz w:val="24"/>
          <w:szCs w:val="24"/>
          <w:lang w:val="sr-Cyrl-BA"/>
        </w:rPr>
        <w:t>неизвјесности</w:t>
      </w:r>
      <w:r w:rsidR="00EE16F8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везаних за трајање</w:t>
      </w:r>
      <w:r w:rsidR="00534C5A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E16F8" w:rsidRPr="002B34F1">
        <w:rPr>
          <w:rFonts w:ascii="Times New Roman" w:hAnsi="Times New Roman" w:cs="Times New Roman"/>
          <w:sz w:val="24"/>
          <w:szCs w:val="24"/>
          <w:lang w:val="sr-Cyrl-BA"/>
        </w:rPr>
        <w:t>дешавања у Украјини и рефлектовања на глобална економска кретања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6505C5" w:rsidRPr="002B34F1">
        <w:rPr>
          <w:rFonts w:ascii="Times New Roman" w:hAnsi="Times New Roman" w:cs="Times New Roman"/>
          <w:sz w:val="24"/>
          <w:szCs w:val="24"/>
          <w:lang w:val="sr-Cyrl-BA"/>
        </w:rPr>
        <w:t>Програм је направљен уз претпоставку да ће доћи до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505C5" w:rsidRPr="002B34F1">
        <w:rPr>
          <w:rFonts w:ascii="Times New Roman" w:hAnsi="Times New Roman" w:cs="Times New Roman"/>
          <w:sz w:val="24"/>
          <w:szCs w:val="24"/>
          <w:lang w:val="sr-Cyrl-BA"/>
        </w:rPr>
        <w:t>постепене стабилизације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505C5" w:rsidRPr="002B34F1">
        <w:rPr>
          <w:rFonts w:ascii="Times New Roman" w:hAnsi="Times New Roman" w:cs="Times New Roman"/>
          <w:sz w:val="24"/>
          <w:szCs w:val="24"/>
          <w:lang w:val="sr-Cyrl-BA"/>
        </w:rPr>
        <w:t>и повратка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у нормалне економске и привредне токове</w:t>
      </w:r>
      <w:r w:rsidR="006505C5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у периоду за који је Програм рађен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498F5F31" w14:textId="77777777" w:rsidR="00AA2D40" w:rsidRPr="002B34F1" w:rsidRDefault="00AA2D40" w:rsidP="007961F0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BA"/>
        </w:rPr>
      </w:pPr>
    </w:p>
    <w:p w14:paraId="1C43B577" w14:textId="77777777" w:rsidR="002B34F1" w:rsidRPr="002B34F1" w:rsidRDefault="002B34F1" w:rsidP="007961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14:paraId="6C9567D3" w14:textId="77777777" w:rsidR="00824D49" w:rsidRPr="002B34F1" w:rsidRDefault="00383444" w:rsidP="007961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  <w:r w:rsidRPr="002B34F1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ДЕФИЦИТ </w:t>
      </w:r>
    </w:p>
    <w:p w14:paraId="3ABD0270" w14:textId="77777777" w:rsidR="00FA7EFD" w:rsidRPr="002B34F1" w:rsidRDefault="00FA7EFD" w:rsidP="007961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14:paraId="0013550A" w14:textId="77777777" w:rsidR="00573A9B" w:rsidRPr="002B34F1" w:rsidRDefault="00573A9B" w:rsidP="007961F0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>Буџетски дефицит представља негативну разлику између збира прихода и примитака за нефинансијску имовину и збира расхода и издатака за нефинансијску имовину (члан 14. став 3. Закона о буџетском систему Републике Српске</w:t>
      </w:r>
      <w:r w:rsidR="001F45AB" w:rsidRPr="002B34F1">
        <w:rPr>
          <w:rFonts w:ascii="Times New Roman" w:hAnsi="Times New Roman" w:cs="Times New Roman"/>
          <w:bCs/>
          <w:iCs/>
          <w:sz w:val="24"/>
          <w:szCs w:val="24"/>
          <w:lang w:val="sr-Cyrl-BA"/>
        </w:rPr>
        <w:t xml:space="preserve"> </w:t>
      </w:r>
      <w:r w:rsidR="003C36D7" w:rsidRPr="002B34F1">
        <w:rPr>
          <w:rFonts w:ascii="Times New Roman" w:hAnsi="Times New Roman" w:cs="Times New Roman"/>
          <w:bCs/>
          <w:iCs/>
          <w:sz w:val="24"/>
          <w:szCs w:val="24"/>
          <w:lang w:val="sr-Cyrl-BA"/>
        </w:rPr>
        <w:t>–</w:t>
      </w:r>
      <w:r w:rsidR="001F45AB" w:rsidRPr="002B34F1">
        <w:rPr>
          <w:rFonts w:ascii="Times New Roman" w:hAnsi="Times New Roman" w:cs="Times New Roman"/>
          <w:bCs/>
          <w:iCs/>
          <w:sz w:val="24"/>
          <w:szCs w:val="24"/>
          <w:lang w:val="sr-Cyrl-BA"/>
        </w:rPr>
        <w:t xml:space="preserve"> </w:t>
      </w:r>
      <w:r w:rsidR="003C36D7" w:rsidRPr="002B34F1">
        <w:rPr>
          <w:rFonts w:ascii="Times New Roman" w:hAnsi="Times New Roman" w:cs="Times New Roman"/>
          <w:bCs/>
          <w:iCs/>
          <w:sz w:val="24"/>
          <w:szCs w:val="24"/>
          <w:lang w:val="sr-Cyrl-BA"/>
        </w:rPr>
        <w:t>„</w:t>
      </w:r>
      <w:r w:rsidR="001F45AB" w:rsidRPr="002B34F1">
        <w:rPr>
          <w:rFonts w:ascii="Times New Roman" w:hAnsi="Times New Roman" w:cs="Times New Roman"/>
          <w:bCs/>
          <w:iCs/>
          <w:sz w:val="24"/>
          <w:szCs w:val="24"/>
          <w:lang w:val="sr-Cyrl-BA"/>
        </w:rPr>
        <w:t>Службени гласник Републике Српске</w:t>
      </w:r>
      <w:r w:rsidR="003C36D7" w:rsidRPr="002B34F1">
        <w:rPr>
          <w:rFonts w:ascii="Times New Roman" w:hAnsi="Times New Roman" w:cs="Times New Roman"/>
          <w:bCs/>
          <w:iCs/>
          <w:sz w:val="24"/>
          <w:szCs w:val="24"/>
          <w:lang w:val="sr-Cyrl-BA"/>
        </w:rPr>
        <w:t>“</w:t>
      </w:r>
      <w:r w:rsidR="001F45AB" w:rsidRPr="002B34F1">
        <w:rPr>
          <w:rFonts w:ascii="Times New Roman" w:hAnsi="Times New Roman" w:cs="Times New Roman"/>
          <w:bCs/>
          <w:iCs/>
          <w:sz w:val="24"/>
          <w:szCs w:val="24"/>
          <w:lang w:val="sr-Cyrl-BA"/>
        </w:rPr>
        <w:t xml:space="preserve">, бр. 121/12, </w:t>
      </w:r>
      <w:r w:rsidR="00995D98" w:rsidRPr="002B34F1">
        <w:rPr>
          <w:rFonts w:ascii="Times New Roman" w:hAnsi="Times New Roman" w:cs="Times New Roman"/>
          <w:bCs/>
          <w:iCs/>
          <w:sz w:val="24"/>
          <w:szCs w:val="24"/>
          <w:lang w:val="sr-Cyrl-BA"/>
        </w:rPr>
        <w:t>52/14, 103/15 и 15/16).</w:t>
      </w:r>
    </w:p>
    <w:p w14:paraId="00B205A7" w14:textId="77777777" w:rsidR="001F45AB" w:rsidRPr="002B34F1" w:rsidRDefault="001F45AB" w:rsidP="007961F0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  <w:lang w:val="sr-Cyrl-BA"/>
        </w:rPr>
      </w:pPr>
    </w:p>
    <w:p w14:paraId="488F80CE" w14:textId="77777777" w:rsidR="00573A9B" w:rsidRPr="002B34F1" w:rsidRDefault="001E1127" w:rsidP="00796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У званичним </w:t>
      </w:r>
      <w:r w:rsidR="00765DD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свеобухватним </w:t>
      </w:r>
      <w:r w:rsidR="00313BA7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консолидованим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финансијским извјештајима </w:t>
      </w:r>
      <w:r w:rsidR="00573A9B" w:rsidRPr="002B34F1">
        <w:rPr>
          <w:rFonts w:ascii="Times New Roman" w:hAnsi="Times New Roman" w:cs="Times New Roman"/>
          <w:sz w:val="24"/>
          <w:szCs w:val="24"/>
          <w:lang w:val="sr-Cyrl-BA"/>
        </w:rPr>
        <w:t>буџетски дефицит</w:t>
      </w:r>
      <w:r w:rsidR="00264F54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73A9B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се </w:t>
      </w:r>
      <w:r w:rsidR="00264F54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утврђује </w:t>
      </w:r>
      <w:r w:rsidR="00573A9B" w:rsidRPr="002B34F1">
        <w:rPr>
          <w:rFonts w:ascii="Times New Roman" w:hAnsi="Times New Roman" w:cs="Times New Roman"/>
          <w:sz w:val="24"/>
          <w:szCs w:val="24"/>
          <w:lang w:val="sr-Cyrl-BA"/>
        </w:rPr>
        <w:t>као збир буџетских дефицита/суфицита Републике</w:t>
      </w:r>
      <w:r w:rsidR="00417B71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Српске</w:t>
      </w:r>
      <w:r w:rsidR="00573A9B" w:rsidRPr="002B34F1">
        <w:rPr>
          <w:rFonts w:ascii="Times New Roman" w:hAnsi="Times New Roman" w:cs="Times New Roman"/>
          <w:sz w:val="24"/>
          <w:szCs w:val="24"/>
          <w:lang w:val="sr-Cyrl-BA"/>
        </w:rPr>
        <w:t>, јединица локалних самоуправа</w:t>
      </w:r>
      <w:r w:rsidR="00534C5A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73A9B" w:rsidRPr="002B34F1">
        <w:rPr>
          <w:rFonts w:ascii="Times New Roman" w:hAnsi="Times New Roman" w:cs="Times New Roman"/>
          <w:sz w:val="24"/>
          <w:szCs w:val="24"/>
          <w:lang w:val="sr-Cyrl-BA"/>
        </w:rPr>
        <w:t>и фондова обавезног социјалног осигурања,</w:t>
      </w:r>
      <w:r w:rsidR="00534C5A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73A9B" w:rsidRPr="002B34F1">
        <w:rPr>
          <w:rFonts w:ascii="Times New Roman" w:hAnsi="Times New Roman" w:cs="Times New Roman"/>
          <w:sz w:val="24"/>
          <w:szCs w:val="24"/>
          <w:lang w:val="sr-Cyrl-BA"/>
        </w:rPr>
        <w:t>те се коригује за ефекте међусобних трансакција између тих јединица власти.</w:t>
      </w:r>
    </w:p>
    <w:p w14:paraId="444D3B9E" w14:textId="77777777" w:rsidR="002C1AC1" w:rsidRPr="002B34F1" w:rsidRDefault="007E544B" w:rsidP="007961F0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Рачуноводство буџетских корисника се води по начелу </w:t>
      </w:r>
      <w:proofErr w:type="spellStart"/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фондовског</w:t>
      </w:r>
      <w:proofErr w:type="spellEnd"/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рачуноводства</w:t>
      </w:r>
      <w:r w:rsidR="00EC2733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2C1AC1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 складу са </w:t>
      </w:r>
      <w:r w:rsidR="003637F8"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>Правилник</w:t>
      </w:r>
      <w:r w:rsidR="0044493B"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>ом</w:t>
      </w:r>
      <w:r w:rsidR="003637F8"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о буџетским класификацијама, садржини рачуна и примјени контног плана за буџетске кориснике </w:t>
      </w:r>
      <w:r w:rsidR="00A668A6" w:rsidRPr="002B34F1">
        <w:rPr>
          <w:rFonts w:ascii="Times New Roman" w:hAnsi="Times New Roman" w:cs="Times New Roman"/>
          <w:bCs/>
          <w:iCs/>
          <w:sz w:val="24"/>
          <w:szCs w:val="24"/>
          <w:lang w:val="sr-Cyrl-BA"/>
        </w:rPr>
        <w:t>(„</w:t>
      </w:r>
      <w:r w:rsidR="003637F8" w:rsidRPr="002B34F1">
        <w:rPr>
          <w:rFonts w:ascii="Times New Roman" w:hAnsi="Times New Roman" w:cs="Times New Roman"/>
          <w:bCs/>
          <w:iCs/>
          <w:sz w:val="24"/>
          <w:szCs w:val="24"/>
          <w:lang w:val="sr-Cyrl-BA"/>
        </w:rPr>
        <w:t>Службени гласник Републике Српске</w:t>
      </w:r>
      <w:r w:rsidR="00A668A6" w:rsidRPr="002B34F1">
        <w:rPr>
          <w:rFonts w:ascii="Times New Roman" w:hAnsi="Times New Roman" w:cs="Times New Roman"/>
          <w:bCs/>
          <w:iCs/>
          <w:sz w:val="24"/>
          <w:szCs w:val="24"/>
          <w:lang w:val="sr-Cyrl-BA"/>
        </w:rPr>
        <w:t>“</w:t>
      </w:r>
      <w:r w:rsidR="003637F8" w:rsidRPr="002B34F1">
        <w:rPr>
          <w:rFonts w:ascii="Times New Roman" w:hAnsi="Times New Roman" w:cs="Times New Roman"/>
          <w:bCs/>
          <w:iCs/>
          <w:sz w:val="24"/>
          <w:szCs w:val="24"/>
          <w:lang w:val="sr-Cyrl-BA"/>
        </w:rPr>
        <w:t>, бр. 98/16, 115/17 и 118/18)</w:t>
      </w:r>
      <w:r w:rsidR="00042BCB" w:rsidRPr="002B34F1">
        <w:rPr>
          <w:rFonts w:ascii="Times New Roman" w:hAnsi="Times New Roman" w:cs="Times New Roman"/>
          <w:bCs/>
          <w:iCs/>
          <w:sz w:val="24"/>
          <w:szCs w:val="24"/>
          <w:lang w:val="sr-Cyrl-BA"/>
        </w:rPr>
        <w:t>,</w:t>
      </w:r>
      <w:r w:rsidR="00534C5A" w:rsidRPr="002B34F1">
        <w:rPr>
          <w:rFonts w:ascii="Times New Roman" w:hAnsi="Times New Roman" w:cs="Times New Roman"/>
          <w:bCs/>
          <w:iCs/>
          <w:sz w:val="24"/>
          <w:szCs w:val="24"/>
          <w:lang w:val="sr-Cyrl-BA"/>
        </w:rPr>
        <w:t xml:space="preserve"> </w:t>
      </w:r>
      <w:r w:rsidR="00DB64B8" w:rsidRPr="002B34F1">
        <w:rPr>
          <w:rFonts w:ascii="Times New Roman" w:hAnsi="Times New Roman" w:cs="Times New Roman"/>
          <w:bCs/>
          <w:iCs/>
          <w:sz w:val="24"/>
          <w:szCs w:val="24"/>
          <w:lang w:val="sr-Cyrl-BA"/>
        </w:rPr>
        <w:t xml:space="preserve">и то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према сљедећим </w:t>
      </w:r>
      <w:proofErr w:type="spellStart"/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фондовским</w:t>
      </w:r>
      <w:proofErr w:type="spellEnd"/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класификацијама</w:t>
      </w:r>
      <w:r w:rsidR="002C1AC1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:</w:t>
      </w:r>
    </w:p>
    <w:p w14:paraId="61F4E3BA" w14:textId="77777777" w:rsidR="002C1AC1" w:rsidRPr="002B34F1" w:rsidRDefault="002C1AC1" w:rsidP="007961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• </w:t>
      </w:r>
      <w:r w:rsidRPr="002B34F1">
        <w:rPr>
          <w:rFonts w:ascii="Times New Roman" w:eastAsia="Times New Roman" w:hAnsi="Times New Roman" w:cs="Times New Roman"/>
          <w:sz w:val="24"/>
          <w:szCs w:val="24"/>
          <w:u w:val="single"/>
          <w:lang w:val="sr-Cyrl-BA"/>
        </w:rPr>
        <w:t>општи фонд (01)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</w:t>
      </w:r>
      <w:r w:rsidR="00995707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едставља буџет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у ужем смислу ријечи и користи се за исказивање свих средстава и свих активности буџетских корисника, осим оних који се, према посебним захтјевима, исказују на другим фондовима;</w:t>
      </w:r>
    </w:p>
    <w:p w14:paraId="0AD153C7" w14:textId="77777777" w:rsidR="002C1AC1" w:rsidRPr="002B34F1" w:rsidRDefault="002C1AC1" w:rsidP="007961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• </w:t>
      </w:r>
      <w:r w:rsidRPr="002B34F1">
        <w:rPr>
          <w:rFonts w:ascii="Times New Roman" w:eastAsia="Times New Roman" w:hAnsi="Times New Roman" w:cs="Times New Roman"/>
          <w:sz w:val="24"/>
          <w:szCs w:val="24"/>
          <w:u w:val="single"/>
          <w:lang w:val="sr-Cyrl-BA"/>
        </w:rPr>
        <w:t>фонд прихода по посебним прописима (02)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користи се за исказивање средстава која се на основу прописа користе само у посебне сврхе и свих активности које се финансирају из тих средстава,</w:t>
      </w:r>
      <w:r w:rsidR="006605FB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 који нису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укључен</w:t>
      </w:r>
      <w:r w:rsidR="006605FB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 општи фонд (нпр. властити приходи институција);</w:t>
      </w:r>
    </w:p>
    <w:p w14:paraId="1B87C0C7" w14:textId="77777777" w:rsidR="002C1AC1" w:rsidRPr="002B34F1" w:rsidRDefault="002C1AC1" w:rsidP="007961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• </w:t>
      </w:r>
      <w:r w:rsidRPr="002B34F1">
        <w:rPr>
          <w:rFonts w:ascii="Times New Roman" w:eastAsia="Times New Roman" w:hAnsi="Times New Roman" w:cs="Times New Roman"/>
          <w:sz w:val="24"/>
          <w:szCs w:val="24"/>
          <w:u w:val="single"/>
          <w:lang w:val="sr-Cyrl-BA"/>
        </w:rPr>
        <w:t>фонд грантова (03)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користи се за исказивање грантова буџетских корисника и свих активности које се </w:t>
      </w:r>
      <w:r w:rsidR="002C1518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финансирају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из тих средстава, а који нису укључени у општи фонд;</w:t>
      </w:r>
    </w:p>
    <w:p w14:paraId="41FB50B5" w14:textId="77777777" w:rsidR="002C1AC1" w:rsidRPr="002B34F1" w:rsidRDefault="002C1AC1" w:rsidP="007961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• </w:t>
      </w:r>
      <w:r w:rsidRPr="002B34F1">
        <w:rPr>
          <w:rFonts w:ascii="Times New Roman" w:eastAsia="Times New Roman" w:hAnsi="Times New Roman" w:cs="Times New Roman"/>
          <w:sz w:val="24"/>
          <w:szCs w:val="24"/>
          <w:u w:val="single"/>
          <w:lang w:val="sr-Cyrl-BA"/>
        </w:rPr>
        <w:t>фонд средстава приватизације и сукцесије (04)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користи се за исказивање средстава приватизације и сукцесије и свих активности које се финансирају из тих средстава, </w:t>
      </w:r>
      <w:r w:rsidR="00EE531C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51735B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који</w:t>
      </w:r>
      <w:r w:rsidR="00EE531C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нису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укључен</w:t>
      </w:r>
      <w:r w:rsidR="00EE531C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 општи фонд и</w:t>
      </w:r>
    </w:p>
    <w:p w14:paraId="6154155B" w14:textId="77777777" w:rsidR="002C1AC1" w:rsidRPr="002B34F1" w:rsidRDefault="002C1AC1" w:rsidP="007961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• </w:t>
      </w:r>
      <w:r w:rsidRPr="002B34F1">
        <w:rPr>
          <w:rFonts w:ascii="Times New Roman" w:eastAsia="Times New Roman" w:hAnsi="Times New Roman" w:cs="Times New Roman"/>
          <w:sz w:val="24"/>
          <w:szCs w:val="24"/>
          <w:u w:val="single"/>
          <w:lang w:val="sr-Cyrl-BA"/>
        </w:rPr>
        <w:t>фонд за посебне пројекте (05)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користи се за исказивање средстава намијењених посебним пројектима и свих активности на реализацији односних пројеката који нису укључени у општи фонд (нпр. </w:t>
      </w:r>
      <w:r w:rsidR="00781F32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коришће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ње приступних фондова Европске уније).</w:t>
      </w:r>
    </w:p>
    <w:p w14:paraId="71C42995" w14:textId="77777777" w:rsidR="00190101" w:rsidRPr="002B34F1" w:rsidRDefault="007961F0" w:rsidP="00796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62D67" w:rsidRPr="002B34F1">
        <w:rPr>
          <w:rFonts w:ascii="Times New Roman" w:hAnsi="Times New Roman" w:cs="Times New Roman"/>
          <w:sz w:val="24"/>
          <w:szCs w:val="24"/>
          <w:lang w:val="sr-Cyrl-BA"/>
        </w:rPr>
        <w:t>У табелама</w:t>
      </w:r>
      <w:r w:rsidR="00573A9B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1. и 2</w:t>
      </w:r>
      <w:r w:rsidR="00DB64B8" w:rsidRPr="002B34F1">
        <w:rPr>
          <w:rFonts w:ascii="Times New Roman" w:hAnsi="Times New Roman" w:cs="Times New Roman"/>
          <w:sz w:val="24"/>
          <w:szCs w:val="24"/>
          <w:lang w:val="sr-Cyrl-BA"/>
        </w:rPr>
        <w:t>, а</w:t>
      </w:r>
      <w:r w:rsidR="00573A9B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40F7D" w:rsidRPr="002B34F1">
        <w:rPr>
          <w:rFonts w:ascii="Times New Roman" w:hAnsi="Times New Roman" w:cs="Times New Roman"/>
          <w:sz w:val="24"/>
          <w:szCs w:val="24"/>
          <w:lang w:val="sr-Cyrl-BA"/>
        </w:rPr>
        <w:t>које су у прилогу Програма</w:t>
      </w:r>
      <w:r w:rsidR="00901B1C" w:rsidRPr="002B34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C40F7D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73A9B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дајемо преглед прихода и </w:t>
      </w:r>
      <w:r w:rsidR="00573A9B" w:rsidRPr="002B34F1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примитака за нефинансијску имовину</w:t>
      </w:r>
      <w:r w:rsidR="00DB64B8" w:rsidRPr="002B34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573A9B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као и преглед расхода и изда</w:t>
      </w:r>
      <w:r w:rsidR="004769E1" w:rsidRPr="002B34F1">
        <w:rPr>
          <w:rFonts w:ascii="Times New Roman" w:hAnsi="Times New Roman" w:cs="Times New Roman"/>
          <w:sz w:val="24"/>
          <w:szCs w:val="24"/>
          <w:lang w:val="sr-Cyrl-BA"/>
        </w:rPr>
        <w:t>та</w:t>
      </w:r>
      <w:r w:rsidR="00573A9B" w:rsidRPr="002B34F1">
        <w:rPr>
          <w:rFonts w:ascii="Times New Roman" w:hAnsi="Times New Roman" w:cs="Times New Roman"/>
          <w:sz w:val="24"/>
          <w:szCs w:val="24"/>
          <w:lang w:val="sr-Cyrl-BA"/>
        </w:rPr>
        <w:t>ка</w:t>
      </w:r>
      <w:r w:rsidR="009731A6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за нефинансијску имовину за 2021</w:t>
      </w:r>
      <w:r w:rsidR="00573A9B" w:rsidRPr="002B34F1">
        <w:rPr>
          <w:rFonts w:ascii="Times New Roman" w:hAnsi="Times New Roman" w:cs="Times New Roman"/>
          <w:sz w:val="24"/>
          <w:szCs w:val="24"/>
          <w:lang w:val="sr-Cyrl-BA"/>
        </w:rPr>
        <w:t>. годину (табела 1) и 202</w:t>
      </w:r>
      <w:r w:rsidR="009731A6" w:rsidRPr="002B34F1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573A9B" w:rsidRPr="002B34F1">
        <w:rPr>
          <w:rFonts w:ascii="Times New Roman" w:hAnsi="Times New Roman" w:cs="Times New Roman"/>
          <w:sz w:val="24"/>
          <w:szCs w:val="24"/>
          <w:lang w:val="sr-Cyrl-BA"/>
        </w:rPr>
        <w:t>. годину (табела 2).</w:t>
      </w:r>
      <w:r w:rsidR="00B927CE" w:rsidRPr="002B34F1">
        <w:rPr>
          <w:rStyle w:val="FootnoteReference"/>
          <w:rFonts w:ascii="Times New Roman" w:hAnsi="Times New Roman" w:cs="Times New Roman"/>
          <w:sz w:val="24"/>
          <w:szCs w:val="24"/>
          <w:lang w:val="sr-Cyrl-BA"/>
        </w:rPr>
        <w:footnoteReference w:id="1"/>
      </w:r>
      <w:r w:rsidR="00573A9B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0D7C3E0E" w14:textId="77777777" w:rsidR="00EF77F3" w:rsidRPr="002B34F1" w:rsidRDefault="00086ACB" w:rsidP="00796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>Након суми</w:t>
      </w:r>
      <w:r w:rsidR="00AA2D40" w:rsidRPr="002B34F1">
        <w:rPr>
          <w:rFonts w:ascii="Times New Roman" w:hAnsi="Times New Roman" w:cs="Times New Roman"/>
          <w:sz w:val="24"/>
          <w:szCs w:val="24"/>
          <w:lang w:val="sr-Cyrl-BA"/>
        </w:rPr>
        <w:t>рања резултата остварених у 2021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. години</w:t>
      </w:r>
      <w:r w:rsidR="00553260" w:rsidRPr="002B34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2A77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а према ревидираним подацима </w:t>
      </w:r>
      <w:r w:rsidR="00A10E9C" w:rsidRPr="002B34F1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2C1518" w:rsidRPr="002B34F1">
        <w:rPr>
          <w:rFonts w:ascii="Times New Roman" w:hAnsi="Times New Roman" w:cs="Times New Roman"/>
          <w:sz w:val="24"/>
          <w:szCs w:val="24"/>
          <w:lang w:val="sr-Cyrl-BA"/>
        </w:rPr>
        <w:t>укључујући</w:t>
      </w:r>
      <w:r w:rsidR="00A10E9C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укалкулисане обавезе)</w:t>
      </w:r>
      <w:r w:rsidR="00DB64B8" w:rsidRPr="002B34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A10E9C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74D7F" w:rsidRPr="002B34F1">
        <w:rPr>
          <w:rFonts w:ascii="Times New Roman" w:hAnsi="Times New Roman" w:cs="Times New Roman"/>
          <w:sz w:val="24"/>
          <w:szCs w:val="24"/>
          <w:lang w:val="sr-Cyrl-BA"/>
        </w:rPr>
        <w:t>суфицит буџетског система Републике Српске износи</w:t>
      </w:r>
      <w:r w:rsidR="00DD4DDC" w:rsidRPr="002B34F1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274D7F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7EBE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="002E16C3" w:rsidRPr="002B34F1">
        <w:rPr>
          <w:rFonts w:ascii="Times New Roman" w:hAnsi="Times New Roman" w:cs="Times New Roman"/>
          <w:sz w:val="24"/>
          <w:szCs w:val="24"/>
          <w:lang w:val="sr-Cyrl-BA"/>
        </w:rPr>
        <w:t>14,</w:t>
      </w:r>
      <w:r w:rsidR="00AA2D40" w:rsidRPr="002B34F1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милиона КМ.</w:t>
      </w:r>
    </w:p>
    <w:p w14:paraId="72655B8D" w14:textId="77777777" w:rsidR="00C51F6D" w:rsidRPr="002B34F1" w:rsidRDefault="00573A9B" w:rsidP="00796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>У 2</w:t>
      </w:r>
      <w:r w:rsidR="007F110D" w:rsidRPr="002B34F1">
        <w:rPr>
          <w:rFonts w:ascii="Times New Roman" w:hAnsi="Times New Roman" w:cs="Times New Roman"/>
          <w:sz w:val="24"/>
          <w:szCs w:val="24"/>
          <w:lang w:val="sr-Cyrl-BA"/>
        </w:rPr>
        <w:t>02</w:t>
      </w:r>
      <w:r w:rsidR="00C5630F" w:rsidRPr="002B34F1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7F110D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. години текући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дефицит буџетског система Републике Српске износи </w:t>
      </w:r>
      <w:r w:rsidR="002E16C3" w:rsidRPr="002B34F1">
        <w:rPr>
          <w:rFonts w:ascii="Times New Roman" w:hAnsi="Times New Roman" w:cs="Times New Roman"/>
          <w:sz w:val="24"/>
          <w:szCs w:val="24"/>
          <w:lang w:val="sr-Cyrl-BA"/>
        </w:rPr>
        <w:t>397,</w:t>
      </w:r>
      <w:r w:rsidR="002D4B77" w:rsidRPr="002B34F1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6A7C8B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милион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КМ.</w:t>
      </w:r>
    </w:p>
    <w:p w14:paraId="35762077" w14:textId="77777777" w:rsidR="007961F0" w:rsidRPr="002B34F1" w:rsidRDefault="007961F0" w:rsidP="00796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FC852F8" w14:textId="77777777" w:rsidR="00227E56" w:rsidRPr="002B34F1" w:rsidRDefault="00EB6F29" w:rsidP="00796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>Табела 3. Утврђени текући дефицит буџетског сист</w:t>
      </w:r>
      <w:r w:rsidR="00AD2923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ема Републике Српске на дан </w:t>
      </w:r>
      <w:r w:rsidR="004E5F12" w:rsidRPr="002B34F1">
        <w:rPr>
          <w:rFonts w:ascii="Times New Roman" w:hAnsi="Times New Roman" w:cs="Times New Roman"/>
          <w:sz w:val="24"/>
          <w:szCs w:val="24"/>
          <w:lang w:val="sr-Cyrl-BA"/>
        </w:rPr>
        <w:t>31. 12. 20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22</w:t>
      </w:r>
      <w:r w:rsidR="00D2053F" w:rsidRPr="002B34F1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AD2923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године</w:t>
      </w:r>
      <w:r w:rsidR="00534C5A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1323B07D" w14:textId="77777777" w:rsidR="008C47F4" w:rsidRPr="002B34F1" w:rsidRDefault="00DB64B8" w:rsidP="00F004DB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C47F4" w:rsidRPr="002B34F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C47F4" w:rsidRPr="002B34F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C47F4" w:rsidRPr="002B34F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C47F4" w:rsidRPr="002B34F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C47F4" w:rsidRPr="002B34F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C47F4" w:rsidRPr="002B34F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C47F4" w:rsidRPr="002B34F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C47F4" w:rsidRPr="002B34F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534C5A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C47F4" w:rsidRPr="002B34F1">
        <w:rPr>
          <w:rFonts w:ascii="Times New Roman" w:hAnsi="Times New Roman" w:cs="Times New Roman"/>
          <w:lang w:val="sr-Cyrl-BA"/>
        </w:rPr>
        <w:t>-</w:t>
      </w:r>
      <w:r w:rsidR="004E5F12" w:rsidRPr="002B34F1">
        <w:rPr>
          <w:rFonts w:ascii="Times New Roman" w:hAnsi="Times New Roman" w:cs="Times New Roman"/>
          <w:lang w:val="sr-Cyrl-BA"/>
        </w:rPr>
        <w:t xml:space="preserve"> </w:t>
      </w:r>
      <w:r w:rsidR="008C47F4" w:rsidRPr="002B34F1">
        <w:rPr>
          <w:rFonts w:ascii="Times New Roman" w:hAnsi="Times New Roman" w:cs="Times New Roman"/>
          <w:lang w:val="sr-Cyrl-BA"/>
        </w:rPr>
        <w:t>у милионима КМ</w:t>
      </w:r>
    </w:p>
    <w:tbl>
      <w:tblPr>
        <w:tblW w:w="89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"/>
        <w:gridCol w:w="6082"/>
        <w:gridCol w:w="2230"/>
      </w:tblGrid>
      <w:tr w:rsidR="00227E56" w:rsidRPr="002B34F1" w14:paraId="5233217F" w14:textId="77777777" w:rsidTr="002C1518">
        <w:trPr>
          <w:trHeight w:val="496"/>
        </w:trPr>
        <w:tc>
          <w:tcPr>
            <w:tcW w:w="8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CE4D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366E52" w14:textId="77777777" w:rsidR="00227E56" w:rsidRPr="002B34F1" w:rsidRDefault="00227E56" w:rsidP="002C15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Утврђени текући</w:t>
            </w:r>
            <w:r w:rsidR="00534C5A" w:rsidRPr="002B34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 </w:t>
            </w:r>
            <w:r w:rsidRPr="002B34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дефицит буџетског система Републике Српске на дан </w:t>
            </w:r>
            <w:r w:rsidR="004E5F12" w:rsidRPr="002B34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31. 12. 20</w:t>
            </w:r>
            <w:r w:rsidRPr="002B34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22. године*</w:t>
            </w:r>
          </w:p>
        </w:tc>
      </w:tr>
      <w:tr w:rsidR="002520B5" w:rsidRPr="002B34F1" w14:paraId="7BDC5C3A" w14:textId="77777777" w:rsidTr="002C1518">
        <w:trPr>
          <w:trHeight w:val="305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98D996" w14:textId="77777777" w:rsidR="00DB64B8" w:rsidRPr="002B34F1" w:rsidRDefault="00227E56" w:rsidP="002C15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Р</w:t>
            </w:r>
            <w:r w:rsidR="00DB64B8" w:rsidRPr="002B34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едни</w:t>
            </w:r>
          </w:p>
          <w:p w14:paraId="18DFF7CE" w14:textId="77777777" w:rsidR="00227E56" w:rsidRPr="002B34F1" w:rsidRDefault="00227E56" w:rsidP="002C15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број</w:t>
            </w:r>
          </w:p>
        </w:tc>
        <w:tc>
          <w:tcPr>
            <w:tcW w:w="608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326909" w14:textId="77777777" w:rsidR="00227E56" w:rsidRPr="002B34F1" w:rsidRDefault="00227E56" w:rsidP="002C15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Опис</w:t>
            </w:r>
          </w:p>
        </w:tc>
        <w:tc>
          <w:tcPr>
            <w:tcW w:w="223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F457E3" w14:textId="77777777" w:rsidR="00227E56" w:rsidRPr="002B34F1" w:rsidRDefault="00227E56" w:rsidP="002C15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Износ</w:t>
            </w:r>
          </w:p>
        </w:tc>
      </w:tr>
      <w:tr w:rsidR="002520B5" w:rsidRPr="002B34F1" w14:paraId="65A821FD" w14:textId="77777777" w:rsidTr="002C1518">
        <w:trPr>
          <w:trHeight w:val="740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CB2930" w14:textId="77777777" w:rsidR="00227E56" w:rsidRPr="002B34F1" w:rsidRDefault="00227E56" w:rsidP="002C15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I</w:t>
            </w:r>
          </w:p>
        </w:tc>
        <w:tc>
          <w:tcPr>
            <w:tcW w:w="60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F7E3B0" w14:textId="77777777" w:rsidR="00227E56" w:rsidRPr="002B34F1" w:rsidRDefault="00227E56" w:rsidP="002C1518">
            <w:pPr>
              <w:spacing w:after="0" w:line="240" w:lineRule="auto"/>
              <w:ind w:left="22" w:right="99"/>
              <w:jc w:val="both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Текући дефицит </w:t>
            </w:r>
            <w:r w:rsidR="00A520D5"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корисника буџета Републике </w:t>
            </w:r>
            <w:r w:rsidR="00417B71"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Српске </w:t>
            </w: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исказан на фонду 01 у Главној књизи трезора на дан </w:t>
            </w:r>
            <w:r w:rsidR="004E5F12"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31. 12. 20</w:t>
            </w: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22. године </w:t>
            </w:r>
          </w:p>
        </w:tc>
        <w:tc>
          <w:tcPr>
            <w:tcW w:w="2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E6BB32" w14:textId="77777777" w:rsidR="00227E56" w:rsidRPr="002B34F1" w:rsidRDefault="002C1518" w:rsidP="002C15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-274</w:t>
            </w:r>
          </w:p>
        </w:tc>
      </w:tr>
      <w:tr w:rsidR="002520B5" w:rsidRPr="002B34F1" w14:paraId="018AF51B" w14:textId="77777777" w:rsidTr="002C1518">
        <w:trPr>
          <w:trHeight w:val="57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2CC2EB" w14:textId="77777777" w:rsidR="00227E56" w:rsidRPr="002B34F1" w:rsidRDefault="00227E56" w:rsidP="002C15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II</w:t>
            </w:r>
          </w:p>
        </w:tc>
        <w:tc>
          <w:tcPr>
            <w:tcW w:w="60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3EB3AD" w14:textId="77777777" w:rsidR="00227E56" w:rsidRPr="002B34F1" w:rsidRDefault="00227E56" w:rsidP="002C1518">
            <w:pPr>
              <w:spacing w:after="0" w:line="240" w:lineRule="auto"/>
              <w:ind w:left="22" w:right="99"/>
              <w:jc w:val="both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Текући дефицит</w:t>
            </w:r>
            <w:r w:rsidR="001E1E11"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/суфицит</w:t>
            </w:r>
            <w:r w:rsidR="00A520D5"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корисника буџета Републике</w:t>
            </w:r>
            <w:r w:rsidR="00417B71" w:rsidRPr="002B34F1">
              <w:rPr>
                <w:rFonts w:ascii="Times New Roman" w:hAnsi="Times New Roman" w:cs="Times New Roman"/>
              </w:rPr>
              <w:t xml:space="preserve"> </w:t>
            </w:r>
            <w:r w:rsidR="00417B71"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Српске</w:t>
            </w: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исказан на фондовима 02–05 у Главној књизи трезора на дан </w:t>
            </w:r>
            <w:r w:rsidR="004E5F12"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31. 12. 20</w:t>
            </w: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22. године </w:t>
            </w:r>
          </w:p>
        </w:tc>
        <w:tc>
          <w:tcPr>
            <w:tcW w:w="2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7FA286" w14:textId="77777777" w:rsidR="00227E56" w:rsidRPr="002B34F1" w:rsidRDefault="00227E56" w:rsidP="002C15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-122,1</w:t>
            </w:r>
          </w:p>
        </w:tc>
      </w:tr>
      <w:tr w:rsidR="00227E56" w:rsidRPr="002B34F1" w14:paraId="74948373" w14:textId="77777777" w:rsidTr="002C1518">
        <w:trPr>
          <w:trHeight w:val="57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E9BB30" w14:textId="77777777" w:rsidR="00227E56" w:rsidRPr="002B34F1" w:rsidRDefault="00227E56" w:rsidP="002C15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III</w:t>
            </w:r>
          </w:p>
        </w:tc>
        <w:tc>
          <w:tcPr>
            <w:tcW w:w="608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BF0AFE" w14:textId="77777777" w:rsidR="00227E56" w:rsidRPr="002B34F1" w:rsidRDefault="00227E56" w:rsidP="002C1518">
            <w:pPr>
              <w:spacing w:after="0" w:line="240" w:lineRule="auto"/>
              <w:ind w:left="22" w:right="99"/>
              <w:jc w:val="both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Укалкулисане обавезе за које нису постојала расположива буџетска средства у 2022. години (евидентиране на контима обрачунских расхода)</w:t>
            </w:r>
          </w:p>
        </w:tc>
        <w:tc>
          <w:tcPr>
            <w:tcW w:w="22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155617" w14:textId="77777777" w:rsidR="00227E56" w:rsidRPr="002B34F1" w:rsidRDefault="00227E56" w:rsidP="002C15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-18,5</w:t>
            </w:r>
          </w:p>
        </w:tc>
      </w:tr>
      <w:tr w:rsidR="002520B5" w:rsidRPr="002B34F1" w14:paraId="4BE793C6" w14:textId="77777777" w:rsidTr="002C1518">
        <w:trPr>
          <w:trHeight w:val="624"/>
        </w:trPr>
        <w:tc>
          <w:tcPr>
            <w:tcW w:w="0" w:type="auto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CE4D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83BD7B" w14:textId="77777777" w:rsidR="00227E56" w:rsidRPr="002B34F1" w:rsidRDefault="00227E56" w:rsidP="002C151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bCs/>
                <w:sz w:val="24"/>
                <w:szCs w:val="24"/>
                <w:lang w:val="sr-Cyrl-BA"/>
              </w:rPr>
              <w:t>A</w:t>
            </w:r>
          </w:p>
        </w:tc>
        <w:tc>
          <w:tcPr>
            <w:tcW w:w="608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CE4D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08BDF9" w14:textId="77777777" w:rsidR="00227E56" w:rsidRPr="002B34F1" w:rsidRDefault="00227E56" w:rsidP="002C1518">
            <w:pPr>
              <w:spacing w:after="0" w:line="240" w:lineRule="auto"/>
              <w:ind w:left="22" w:right="99"/>
              <w:jc w:val="both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Дефицит исказан у ГКТ, увећан за укалкулисане обавезе на дан </w:t>
            </w:r>
            <w:r w:rsidR="004E5F12"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31. 12. 20</w:t>
            </w: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</w:t>
            </w:r>
            <w:r w:rsidR="00E732C1"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</w:t>
            </w: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. године</w:t>
            </w:r>
          </w:p>
        </w:tc>
        <w:tc>
          <w:tcPr>
            <w:tcW w:w="2230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CE4D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6CCC54" w14:textId="77777777" w:rsidR="00227E56" w:rsidRPr="002B34F1" w:rsidRDefault="00227E56" w:rsidP="002C15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-414,6</w:t>
            </w:r>
          </w:p>
        </w:tc>
      </w:tr>
      <w:tr w:rsidR="002520B5" w:rsidRPr="002B34F1" w14:paraId="12E9CB86" w14:textId="77777777" w:rsidTr="002C1518">
        <w:trPr>
          <w:trHeight w:val="57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1CE3EE" w14:textId="77777777" w:rsidR="00227E56" w:rsidRPr="002B34F1" w:rsidRDefault="00227E56" w:rsidP="002C15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I</w:t>
            </w:r>
            <w:r w:rsidR="00A73BC6"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V</w:t>
            </w:r>
          </w:p>
        </w:tc>
        <w:tc>
          <w:tcPr>
            <w:tcW w:w="60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60E281" w14:textId="77777777" w:rsidR="00227E56" w:rsidRPr="002B34F1" w:rsidRDefault="00227E56" w:rsidP="002C1518">
            <w:pPr>
              <w:spacing w:after="0" w:line="240" w:lineRule="auto"/>
              <w:ind w:left="22" w:right="99"/>
              <w:jc w:val="both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Текући дефицит/суфицит корисника буџета Републике</w:t>
            </w:r>
            <w:r w:rsidR="00417B71" w:rsidRPr="002B34F1">
              <w:rPr>
                <w:rFonts w:ascii="Times New Roman" w:hAnsi="Times New Roman" w:cs="Times New Roman"/>
              </w:rPr>
              <w:t xml:space="preserve"> </w:t>
            </w:r>
            <w:r w:rsidR="00417B71"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Српске</w:t>
            </w: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који посједују властите рачуне</w:t>
            </w:r>
            <w:r w:rsidR="002C1518"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и који послују изван ГКТ (ВБК)</w:t>
            </w: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на дан </w:t>
            </w:r>
            <w:r w:rsidR="004E5F12"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31. 12. 20</w:t>
            </w: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22. године</w:t>
            </w:r>
          </w:p>
        </w:tc>
        <w:tc>
          <w:tcPr>
            <w:tcW w:w="2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DE1573" w14:textId="77777777" w:rsidR="00227E56" w:rsidRPr="002B34F1" w:rsidRDefault="00227E56" w:rsidP="002C15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-1,9</w:t>
            </w:r>
          </w:p>
        </w:tc>
      </w:tr>
      <w:tr w:rsidR="002520B5" w:rsidRPr="002B34F1" w14:paraId="4C3F500B" w14:textId="77777777" w:rsidTr="002C1518">
        <w:trPr>
          <w:trHeight w:val="57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319924" w14:textId="77777777" w:rsidR="00227E56" w:rsidRPr="002B34F1" w:rsidRDefault="00227E56" w:rsidP="002C15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60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CCBC2A" w14:textId="77777777" w:rsidR="00227E56" w:rsidRPr="002B34F1" w:rsidRDefault="00227E56" w:rsidP="002C1518">
            <w:pPr>
              <w:spacing w:after="0" w:line="240" w:lineRule="auto"/>
              <w:ind w:left="22" w:right="99"/>
              <w:jc w:val="both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Корекција текућег дефицита усљед консолидације</w:t>
            </w:r>
          </w:p>
        </w:tc>
        <w:tc>
          <w:tcPr>
            <w:tcW w:w="2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5B790A" w14:textId="77777777" w:rsidR="00227E56" w:rsidRPr="002B34F1" w:rsidRDefault="00227E56" w:rsidP="002C15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0,1</w:t>
            </w:r>
          </w:p>
        </w:tc>
      </w:tr>
      <w:tr w:rsidR="002520B5" w:rsidRPr="002B34F1" w14:paraId="7139F40F" w14:textId="77777777" w:rsidTr="002C1518">
        <w:trPr>
          <w:trHeight w:val="569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CE4D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EEA6EA" w14:textId="77777777" w:rsidR="00227E56" w:rsidRPr="002B34F1" w:rsidRDefault="00227E56" w:rsidP="002C15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Б</w:t>
            </w:r>
          </w:p>
        </w:tc>
        <w:tc>
          <w:tcPr>
            <w:tcW w:w="60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CE4D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862E94" w14:textId="77777777" w:rsidR="00611BD3" w:rsidRPr="002B34F1" w:rsidRDefault="00227E56" w:rsidP="002C1518">
            <w:pPr>
              <w:spacing w:after="0" w:line="240" w:lineRule="auto"/>
              <w:ind w:left="29" w:right="101"/>
              <w:jc w:val="both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Дефицит корисника буџета Републике Српске</w:t>
            </w:r>
          </w:p>
          <w:p w14:paraId="67B5E038" w14:textId="77777777" w:rsidR="002C1518" w:rsidRPr="002B34F1" w:rsidRDefault="00227E56" w:rsidP="002C1518">
            <w:pPr>
              <w:spacing w:after="0" w:line="240" w:lineRule="auto"/>
              <w:ind w:left="29" w:right="101"/>
              <w:jc w:val="both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(</w:t>
            </w:r>
            <w:r w:rsidR="002C1518"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ГКТ + ВБК</w:t>
            </w: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) на дан </w:t>
            </w:r>
            <w:r w:rsidR="004E5F12"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31. 12. 20</w:t>
            </w: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22. године </w:t>
            </w:r>
          </w:p>
        </w:tc>
        <w:tc>
          <w:tcPr>
            <w:tcW w:w="2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FCE4D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67B93B" w14:textId="77777777" w:rsidR="00227E56" w:rsidRPr="002B34F1" w:rsidRDefault="00227E56" w:rsidP="002C15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-416,4</w:t>
            </w:r>
          </w:p>
        </w:tc>
      </w:tr>
      <w:tr w:rsidR="002520B5" w:rsidRPr="002B34F1" w14:paraId="78271785" w14:textId="77777777" w:rsidTr="002C1518">
        <w:trPr>
          <w:trHeight w:val="57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54C54E" w14:textId="77777777" w:rsidR="00227E56" w:rsidRPr="002B34F1" w:rsidRDefault="00227E56" w:rsidP="002C15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В</w:t>
            </w:r>
          </w:p>
        </w:tc>
        <w:tc>
          <w:tcPr>
            <w:tcW w:w="60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2223DD" w14:textId="77777777" w:rsidR="00227E56" w:rsidRPr="002B34F1" w:rsidRDefault="00227E56" w:rsidP="002C1518">
            <w:pPr>
              <w:spacing w:after="0" w:line="240" w:lineRule="auto"/>
              <w:ind w:left="22" w:right="99"/>
              <w:jc w:val="both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Текући дефицит/суфицит јединица локалне самоуправе (збирно)</w:t>
            </w:r>
          </w:p>
        </w:tc>
        <w:tc>
          <w:tcPr>
            <w:tcW w:w="2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C6D005" w14:textId="77777777" w:rsidR="00227E56" w:rsidRPr="002B34F1" w:rsidRDefault="00227E56" w:rsidP="002C15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9,5</w:t>
            </w:r>
          </w:p>
        </w:tc>
      </w:tr>
      <w:tr w:rsidR="002520B5" w:rsidRPr="002B34F1" w14:paraId="7F04518E" w14:textId="77777777" w:rsidTr="002C1518">
        <w:trPr>
          <w:trHeight w:val="531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BE4301" w14:textId="77777777" w:rsidR="00227E56" w:rsidRPr="002B34F1" w:rsidRDefault="00227E56" w:rsidP="002C15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Г</w:t>
            </w:r>
          </w:p>
        </w:tc>
        <w:tc>
          <w:tcPr>
            <w:tcW w:w="60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1D303E" w14:textId="77777777" w:rsidR="00227E56" w:rsidRPr="002B34F1" w:rsidRDefault="00227E56" w:rsidP="002C1518">
            <w:pPr>
              <w:spacing w:after="0" w:line="240" w:lineRule="auto"/>
              <w:ind w:left="22" w:right="99"/>
              <w:jc w:val="both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Текући дефицит/суфицит фондова социјалне сигурности који се воде изван ГКТ (збирно)</w:t>
            </w:r>
          </w:p>
        </w:tc>
        <w:tc>
          <w:tcPr>
            <w:tcW w:w="2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D07ACF" w14:textId="77777777" w:rsidR="00227E56" w:rsidRPr="002B34F1" w:rsidRDefault="00227E56" w:rsidP="002C15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10,1</w:t>
            </w:r>
          </w:p>
        </w:tc>
      </w:tr>
      <w:tr w:rsidR="002520B5" w:rsidRPr="002B34F1" w14:paraId="55687C01" w14:textId="77777777" w:rsidTr="002C1518">
        <w:trPr>
          <w:trHeight w:val="57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B9A62D" w14:textId="77777777" w:rsidR="00227E56" w:rsidRPr="002B34F1" w:rsidRDefault="00227E56" w:rsidP="002C15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60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28F445" w14:textId="77777777" w:rsidR="00227E56" w:rsidRPr="002B34F1" w:rsidRDefault="00227E56" w:rsidP="002C1518">
            <w:pPr>
              <w:spacing w:after="0" w:line="240" w:lineRule="auto"/>
              <w:ind w:left="22" w:right="99"/>
              <w:jc w:val="both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Корекција текућег дефицита усљед консолидације</w:t>
            </w:r>
          </w:p>
        </w:tc>
        <w:tc>
          <w:tcPr>
            <w:tcW w:w="2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2FF8CD" w14:textId="77777777" w:rsidR="00227E56" w:rsidRPr="002B34F1" w:rsidRDefault="00227E56" w:rsidP="002C15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-0,</w:t>
            </w:r>
            <w:r w:rsidR="00BD0711"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</w:t>
            </w:r>
          </w:p>
        </w:tc>
      </w:tr>
      <w:tr w:rsidR="002520B5" w:rsidRPr="002B34F1" w14:paraId="69059FF8" w14:textId="77777777" w:rsidTr="002C1518">
        <w:trPr>
          <w:trHeight w:val="57"/>
        </w:trPr>
        <w:tc>
          <w:tcPr>
            <w:tcW w:w="0" w:type="auto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CE4D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6A20A9" w14:textId="77777777" w:rsidR="00227E56" w:rsidRPr="002B34F1" w:rsidRDefault="00227E56" w:rsidP="002C15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 </w:t>
            </w:r>
          </w:p>
        </w:tc>
        <w:tc>
          <w:tcPr>
            <w:tcW w:w="608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CE4D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73B542" w14:textId="77777777" w:rsidR="00227E56" w:rsidRPr="002B34F1" w:rsidRDefault="00227E56" w:rsidP="002C1518">
            <w:pPr>
              <w:spacing w:after="0" w:line="240" w:lineRule="auto"/>
              <w:ind w:left="22" w:right="9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Дефицит буџетског система Републике Српске</w:t>
            </w:r>
            <w:r w:rsidR="00534C5A" w:rsidRPr="002B34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 </w:t>
            </w:r>
            <w:r w:rsidRPr="002B34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(КОРИСНИЦИ БУЏЕТА РЕПУБЛИКЕ</w:t>
            </w:r>
            <w:r w:rsidR="00417B71" w:rsidRPr="002B34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 СРПСКЕ</w:t>
            </w:r>
            <w:r w:rsidRPr="002B34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, ЈЛС И ФОНДОВА) на дан </w:t>
            </w:r>
            <w:r w:rsidR="004E5F12" w:rsidRPr="002B34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31. 12. 20</w:t>
            </w:r>
            <w:r w:rsidRPr="002B34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22. године </w:t>
            </w:r>
          </w:p>
        </w:tc>
        <w:tc>
          <w:tcPr>
            <w:tcW w:w="22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FD71DA" w14:textId="77777777" w:rsidR="00227E56" w:rsidRPr="002B34F1" w:rsidRDefault="00227E56" w:rsidP="002C15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2B34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-397,1</w:t>
            </w:r>
          </w:p>
        </w:tc>
      </w:tr>
    </w:tbl>
    <w:p w14:paraId="17D6DCF7" w14:textId="77777777" w:rsidR="00227E56" w:rsidRPr="002B34F1" w:rsidRDefault="00227E56" w:rsidP="00F00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8E7AA7A" w14:textId="77777777" w:rsidR="00EB6F29" w:rsidRPr="002B34F1" w:rsidRDefault="00AA3E72" w:rsidP="00F00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>*</w:t>
      </w:r>
      <w:r w:rsidR="002C1518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Напомена:</w:t>
      </w:r>
      <w:r w:rsidR="00C46410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B6F29" w:rsidRPr="002B34F1">
        <w:rPr>
          <w:rFonts w:ascii="Times New Roman" w:hAnsi="Times New Roman" w:cs="Times New Roman"/>
          <w:sz w:val="24"/>
          <w:szCs w:val="24"/>
          <w:lang w:val="sr-Cyrl-BA"/>
        </w:rPr>
        <w:t>Табела је рађена према званичном консолидованом финансијском извјештају – свеобухватном ПИФ-у (</w:t>
      </w:r>
      <w:r w:rsidR="00EB6F29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КОРИСНИЦИ БУЏЕТА РЕПУБЛИКЕ</w:t>
      </w:r>
      <w:r w:rsidR="00417B71" w:rsidRPr="002B34F1">
        <w:rPr>
          <w:rFonts w:ascii="Times New Roman" w:hAnsi="Times New Roman" w:cs="Times New Roman"/>
        </w:rPr>
        <w:t xml:space="preserve"> </w:t>
      </w:r>
      <w:r w:rsidR="00417B71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СРПСКЕ</w:t>
      </w:r>
      <w:r w:rsidR="00EB6F29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ЈЛС И ФОНДОВА) </w:t>
      </w:r>
      <w:r w:rsidR="00EB6F29" w:rsidRPr="002B34F1">
        <w:rPr>
          <w:rFonts w:ascii="Times New Roman" w:hAnsi="Times New Roman" w:cs="Times New Roman"/>
          <w:sz w:val="24"/>
          <w:szCs w:val="24"/>
          <w:lang w:val="sr-Cyrl-BA"/>
        </w:rPr>
        <w:t>за 2022. годину</w:t>
      </w:r>
      <w:r w:rsidR="00026B9B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(са </w:t>
      </w:r>
      <w:r w:rsidR="007F52A7" w:rsidRPr="002B34F1">
        <w:rPr>
          <w:rFonts w:ascii="Times New Roman" w:hAnsi="Times New Roman" w:cs="Times New Roman"/>
          <w:sz w:val="24"/>
          <w:szCs w:val="24"/>
          <w:lang w:val="sr-Cyrl-BA"/>
        </w:rPr>
        <w:t>додатим</w:t>
      </w:r>
      <w:r w:rsidR="00026B9B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укалкулисаним обавезама)</w:t>
      </w:r>
      <w:r w:rsidR="00EB6F29" w:rsidRPr="002B34F1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A83CD61" w14:textId="77777777" w:rsidR="00EB6F29" w:rsidRPr="002B34F1" w:rsidRDefault="00EB6F29" w:rsidP="00796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Према Закону о фискалној одговорности, консолидовани буџетски дефицит је укупан дефицит буџетског система Републике Српске, а утврђује се као збир консолидованих 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lastRenderedPageBreak/>
        <w:t>буџетских дефицита, буџета Републике</w:t>
      </w:r>
      <w:r w:rsidR="00417B71" w:rsidRPr="002B34F1">
        <w:rPr>
          <w:rFonts w:ascii="Times New Roman" w:hAnsi="Times New Roman" w:cs="Times New Roman"/>
        </w:rPr>
        <w:t xml:space="preserve"> </w:t>
      </w:r>
      <w:r w:rsidR="00417B71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Српске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, буџета општина и градова и буџета фондова.</w:t>
      </w:r>
      <w:r w:rsidR="00A46594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У складу са наведеном дефиницијом, кад се укупном дефициту буџета Р</w:t>
      </w:r>
      <w:r w:rsidR="00417B71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епублике Српске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4967AE" w:rsidRPr="002B34F1">
        <w:rPr>
          <w:rFonts w:ascii="Times New Roman" w:hAnsi="Times New Roman" w:cs="Times New Roman"/>
          <w:sz w:val="24"/>
          <w:szCs w:val="24"/>
          <w:lang w:val="sr-Cyrl-BA"/>
        </w:rPr>
        <w:t>416,</w:t>
      </w:r>
      <w:r w:rsidR="005200BB" w:rsidRPr="002B34F1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04436" w:rsidRPr="002B34F1">
        <w:rPr>
          <w:rFonts w:ascii="Times New Roman" w:hAnsi="Times New Roman" w:cs="Times New Roman"/>
          <w:sz w:val="24"/>
          <w:szCs w:val="24"/>
          <w:lang w:val="sr-Cyrl-BA"/>
        </w:rPr>
        <w:t>милиона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КМ) додају дефицити 22 јединице локалне самоуправе (</w:t>
      </w:r>
      <w:r w:rsidR="004967AE" w:rsidRPr="002B34F1">
        <w:rPr>
          <w:rFonts w:ascii="Times New Roman" w:hAnsi="Times New Roman" w:cs="Times New Roman"/>
          <w:sz w:val="24"/>
          <w:szCs w:val="24"/>
          <w:lang w:val="sr-Cyrl-BA"/>
        </w:rPr>
        <w:t>28,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6 милиона КМ) и дефицити два фонда социјалне сигурности (</w:t>
      </w:r>
      <w:r w:rsidR="004967AE" w:rsidRPr="002B34F1">
        <w:rPr>
          <w:rFonts w:ascii="Times New Roman" w:hAnsi="Times New Roman" w:cs="Times New Roman"/>
          <w:sz w:val="24"/>
          <w:szCs w:val="24"/>
          <w:lang w:val="sr-Cyrl-BA"/>
        </w:rPr>
        <w:t>21,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6 милиона КМ), укључујући и корекције међусобних трансакција између свих учесника у износу </w:t>
      </w:r>
      <w:r w:rsidR="002C1518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од </w:t>
      </w:r>
      <w:r w:rsidR="004967AE" w:rsidRPr="002B34F1">
        <w:rPr>
          <w:rFonts w:ascii="Times New Roman" w:hAnsi="Times New Roman" w:cs="Times New Roman"/>
          <w:sz w:val="24"/>
          <w:szCs w:val="24"/>
          <w:lang w:val="sr-Cyrl-BA"/>
        </w:rPr>
        <w:t>0,</w:t>
      </w:r>
      <w:r w:rsidR="005200BB" w:rsidRPr="002B34F1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милиона КМ, утврђени збир сви</w:t>
      </w:r>
      <w:r w:rsidR="002A225F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х наведених дефицита на дан </w:t>
      </w:r>
      <w:r w:rsidR="004E5F12" w:rsidRPr="002B34F1">
        <w:rPr>
          <w:rFonts w:ascii="Times New Roman" w:hAnsi="Times New Roman" w:cs="Times New Roman"/>
          <w:sz w:val="24"/>
          <w:szCs w:val="24"/>
          <w:lang w:val="sr-Cyrl-BA"/>
        </w:rPr>
        <w:t>31. 12. 20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22. године износи </w:t>
      </w:r>
      <w:r w:rsidR="004967AE" w:rsidRPr="002B34F1">
        <w:rPr>
          <w:rFonts w:ascii="Times New Roman" w:hAnsi="Times New Roman" w:cs="Times New Roman"/>
          <w:sz w:val="24"/>
          <w:szCs w:val="24"/>
          <w:lang w:val="sr-Cyrl-BA"/>
        </w:rPr>
        <w:t>466,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8 милиона КМ, што чини </w:t>
      </w:r>
      <w:r w:rsidR="00DD786B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3,21%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оствареног БДП-а у 2022. години. Међутим, треба нагласити да су 42 јединице локалне самоуправе и два фонда социјалне сигурности остварили </w:t>
      </w:r>
      <w:r w:rsidR="004967AE" w:rsidRPr="002B34F1">
        <w:rPr>
          <w:rFonts w:ascii="Times New Roman" w:hAnsi="Times New Roman" w:cs="Times New Roman"/>
          <w:sz w:val="24"/>
          <w:szCs w:val="24"/>
          <w:lang w:val="sr-Cyrl-BA"/>
        </w:rPr>
        <w:t>суфицит, у укупном износу од 69,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8 милиона КМ, тако да укупан дефицит буџетског система Републике Српске према консолидованим финансијским извјештајима и</w:t>
      </w:r>
      <w:r w:rsidR="004967AE" w:rsidRPr="002B34F1">
        <w:rPr>
          <w:rFonts w:ascii="Times New Roman" w:hAnsi="Times New Roman" w:cs="Times New Roman"/>
          <w:sz w:val="24"/>
          <w:szCs w:val="24"/>
          <w:lang w:val="sr-Cyrl-BA"/>
        </w:rPr>
        <w:t>зноси 397,</w:t>
      </w:r>
      <w:r w:rsidR="006A7C8B" w:rsidRPr="002B34F1">
        <w:rPr>
          <w:rFonts w:ascii="Times New Roman" w:hAnsi="Times New Roman" w:cs="Times New Roman"/>
          <w:sz w:val="24"/>
          <w:szCs w:val="24"/>
          <w:lang w:val="sr-Cyrl-BA"/>
        </w:rPr>
        <w:t>1 милион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КМ</w:t>
      </w:r>
      <w:r w:rsidR="002C1518" w:rsidRPr="002B34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односно </w:t>
      </w:r>
      <w:r w:rsidR="00DD786B" w:rsidRPr="002B34F1">
        <w:rPr>
          <w:rFonts w:ascii="Times New Roman" w:hAnsi="Times New Roman" w:cs="Times New Roman"/>
          <w:sz w:val="24"/>
          <w:szCs w:val="24"/>
          <w:lang w:val="sr-Cyrl-BA"/>
        </w:rPr>
        <w:t>2,73%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БДП-а.</w:t>
      </w:r>
    </w:p>
    <w:p w14:paraId="0D6AF1E3" w14:textId="77777777" w:rsidR="0008440E" w:rsidRPr="002B34F1" w:rsidRDefault="0008440E" w:rsidP="00796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ACE374D" w14:textId="77777777" w:rsidR="002B34F1" w:rsidRPr="002B34F1" w:rsidRDefault="002B34F1" w:rsidP="007961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14:paraId="342C7AC3" w14:textId="77777777" w:rsidR="0008440E" w:rsidRPr="002B34F1" w:rsidRDefault="0008440E" w:rsidP="007961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  <w:r w:rsidRPr="002B34F1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Република</w:t>
      </w:r>
    </w:p>
    <w:p w14:paraId="296E52FF" w14:textId="77777777" w:rsidR="00C31302" w:rsidRPr="002B34F1" w:rsidRDefault="00C31302" w:rsidP="007961F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BA"/>
        </w:rPr>
      </w:pPr>
    </w:p>
    <w:p w14:paraId="0872D768" w14:textId="77777777" w:rsidR="007F35B0" w:rsidRPr="002B34F1" w:rsidRDefault="007F35B0" w:rsidP="007961F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Theme="minorEastAsia" w:hAnsi="Times New Roman" w:cs="Times New Roman"/>
          <w:sz w:val="24"/>
          <w:szCs w:val="24"/>
          <w:lang w:val="sr-Cyrl-BA"/>
        </w:rPr>
        <w:t>Ако узмемо у обзир да је на нивоу Републике</w:t>
      </w:r>
      <w:r w:rsidR="00417B71" w:rsidRPr="002B34F1">
        <w:rPr>
          <w:rFonts w:ascii="Times New Roman" w:hAnsi="Times New Roman" w:cs="Times New Roman"/>
        </w:rPr>
        <w:t xml:space="preserve"> </w:t>
      </w:r>
      <w:r w:rsidR="00417B71" w:rsidRPr="002B34F1">
        <w:rPr>
          <w:rFonts w:ascii="Times New Roman" w:eastAsiaTheme="minorEastAsia" w:hAnsi="Times New Roman" w:cs="Times New Roman"/>
          <w:sz w:val="24"/>
          <w:szCs w:val="24"/>
          <w:lang w:val="sr-Cyrl-BA"/>
        </w:rPr>
        <w:t>Српске</w:t>
      </w:r>
      <w:r w:rsidRPr="002B34F1">
        <w:rPr>
          <w:rFonts w:ascii="Times New Roman" w:eastAsiaTheme="minorEastAsia" w:hAnsi="Times New Roman" w:cs="Times New Roman"/>
          <w:sz w:val="24"/>
          <w:szCs w:val="24"/>
          <w:lang w:val="sr-Cyrl-BA"/>
        </w:rPr>
        <w:t xml:space="preserve"> (ГКТ</w:t>
      </w:r>
      <w:r w:rsidR="002C1518" w:rsidRPr="002B34F1">
        <w:rPr>
          <w:rFonts w:ascii="Times New Roman" w:eastAsiaTheme="minorEastAsia" w:hAnsi="Times New Roman" w:cs="Times New Roman"/>
          <w:sz w:val="24"/>
          <w:szCs w:val="24"/>
          <w:lang w:val="sr-Cyrl-BA"/>
        </w:rPr>
        <w:t xml:space="preserve"> </w:t>
      </w:r>
      <w:r w:rsidRPr="002B34F1">
        <w:rPr>
          <w:rFonts w:ascii="Times New Roman" w:eastAsiaTheme="minorEastAsia" w:hAnsi="Times New Roman" w:cs="Times New Roman"/>
          <w:sz w:val="24"/>
          <w:szCs w:val="24"/>
          <w:lang w:val="sr-Cyrl-BA"/>
        </w:rPr>
        <w:t>+</w:t>
      </w:r>
      <w:r w:rsidR="002C1518" w:rsidRPr="002B34F1">
        <w:rPr>
          <w:rFonts w:ascii="Times New Roman" w:eastAsiaTheme="minorEastAsia" w:hAnsi="Times New Roman" w:cs="Times New Roman"/>
          <w:sz w:val="24"/>
          <w:szCs w:val="24"/>
          <w:lang w:val="sr-Cyrl-BA"/>
        </w:rPr>
        <w:t xml:space="preserve"> </w:t>
      </w:r>
      <w:r w:rsidRPr="002B34F1">
        <w:rPr>
          <w:rFonts w:ascii="Times New Roman" w:eastAsiaTheme="minorEastAsia" w:hAnsi="Times New Roman" w:cs="Times New Roman"/>
          <w:sz w:val="24"/>
          <w:szCs w:val="24"/>
          <w:lang w:val="sr-Cyrl-BA"/>
        </w:rPr>
        <w:t>ВБК) текући дефицит у 2020. години износио 521,1 милион КМ, а на крају 2021. године 79,9 милиона КМ</w:t>
      </w:r>
      <w:r w:rsidRPr="002B34F1">
        <w:rPr>
          <w:rFonts w:ascii="Times New Roman" w:eastAsiaTheme="minorEastAsia" w:hAnsi="Times New Roman" w:cs="Times New Roman"/>
          <w:sz w:val="24"/>
          <w:szCs w:val="24"/>
          <w:vertAlign w:val="superscript"/>
          <w:lang w:val="sr-Cyrl-BA"/>
        </w:rPr>
        <w:footnoteReference w:id="2"/>
      </w:r>
      <w:r w:rsidRPr="002B34F1">
        <w:rPr>
          <w:rFonts w:ascii="Times New Roman" w:eastAsiaTheme="minorEastAsia" w:hAnsi="Times New Roman" w:cs="Times New Roman"/>
          <w:sz w:val="24"/>
          <w:szCs w:val="24"/>
          <w:lang w:val="sr-Cyrl-BA"/>
        </w:rPr>
        <w:t>, можемо рећи да је први Програм фискалне консолидације имао одређене позитивне ефекте</w:t>
      </w:r>
      <w:r w:rsidR="00585E7F" w:rsidRPr="002B34F1">
        <w:rPr>
          <w:rFonts w:ascii="Times New Roman" w:eastAsiaTheme="minorEastAsia" w:hAnsi="Times New Roman" w:cs="Times New Roman"/>
          <w:sz w:val="24"/>
          <w:szCs w:val="24"/>
          <w:lang w:val="sr-Cyrl-BA"/>
        </w:rPr>
        <w:t xml:space="preserve"> у 2021. годин</w:t>
      </w:r>
      <w:r w:rsidR="00FE58DC" w:rsidRPr="002B34F1">
        <w:rPr>
          <w:rFonts w:ascii="Times New Roman" w:eastAsiaTheme="minorEastAsia" w:hAnsi="Times New Roman" w:cs="Times New Roman"/>
          <w:sz w:val="24"/>
          <w:szCs w:val="24"/>
          <w:lang w:val="sr-Cyrl-BA"/>
        </w:rPr>
        <w:t>и</w:t>
      </w:r>
      <w:r w:rsidRPr="002B34F1">
        <w:rPr>
          <w:rFonts w:ascii="Times New Roman" w:eastAsiaTheme="minorEastAsia" w:hAnsi="Times New Roman" w:cs="Times New Roman"/>
          <w:sz w:val="24"/>
          <w:szCs w:val="24"/>
          <w:lang w:val="sr-Cyrl-BA"/>
        </w:rPr>
        <w:t xml:space="preserve">. </w:t>
      </w:r>
    </w:p>
    <w:p w14:paraId="38BE714C" w14:textId="77777777" w:rsidR="007675F7" w:rsidRPr="002B34F1" w:rsidRDefault="007675F7" w:rsidP="00796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</w:p>
    <w:p w14:paraId="7D0D3324" w14:textId="77777777" w:rsidR="00356396" w:rsidRPr="002B34F1" w:rsidRDefault="00A07CC5" w:rsidP="00796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Иако се </w:t>
      </w:r>
      <w:r w:rsidR="00021226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након 2021. године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716B44" w:rsidRPr="002B34F1">
        <w:rPr>
          <w:rFonts w:ascii="Times New Roman" w:hAnsi="Times New Roman" w:cs="Times New Roman"/>
          <w:sz w:val="24"/>
          <w:szCs w:val="24"/>
          <w:lang w:val="sr-Cyrl-BA"/>
        </w:rPr>
        <w:t>чекивао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даљи опоравак привредне акт</w:t>
      </w:r>
      <w:r w:rsidR="002C1518" w:rsidRPr="002B34F1">
        <w:rPr>
          <w:rFonts w:ascii="Times New Roman" w:hAnsi="Times New Roman" w:cs="Times New Roman"/>
          <w:sz w:val="24"/>
          <w:szCs w:val="24"/>
          <w:lang w:val="sr-Cyrl-BA"/>
        </w:rPr>
        <w:t>ивности и раст по стопи од 4,5%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п</w:t>
      </w:r>
      <w:r w:rsidR="009E0B41" w:rsidRPr="002B34F1">
        <w:rPr>
          <w:rFonts w:ascii="Times New Roman" w:hAnsi="Times New Roman" w:cs="Times New Roman"/>
          <w:sz w:val="24"/>
          <w:szCs w:val="24"/>
          <w:lang w:val="sr-Cyrl-BA" w:eastAsia="bs-Latn-BA"/>
        </w:rPr>
        <w:t>риликом израде Буџета Републике Српске за 2022. годину, пројекција буџетских прихода урађена је са посебним опрезом због неизвјесности у погледу интензитета и дужине трајања пандемије вируса корона у Републици Српској и свијету.</w:t>
      </w:r>
      <w:r w:rsidR="007675F7" w:rsidRPr="002B34F1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 </w:t>
      </w:r>
    </w:p>
    <w:p w14:paraId="7E6FF7AB" w14:textId="77777777" w:rsidR="0007175C" w:rsidRPr="002B34F1" w:rsidRDefault="0007175C" w:rsidP="00796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</w:p>
    <w:p w14:paraId="287D443F" w14:textId="77777777" w:rsidR="00A91951" w:rsidRPr="002B34F1" w:rsidRDefault="00A91951" w:rsidP="007961F0">
      <w:pPr>
        <w:pStyle w:val="Header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t>Планом Буџета Републике Српске за 2022. годину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, који је усвојен на </w:t>
      </w:r>
      <w:r w:rsidRPr="002B34F1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Двадесет шестој посебној сједници, одржаној 15. децембра 2021. године („Службени гласник Републике Српске“, број 121/21), </w:t>
      </w:r>
      <w:r w:rsidR="002C1518"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>за општи фонд (01)</w:t>
      </w:r>
      <w:r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планиран је буџетски дефицит у износу од 210,1 милион КМ</w:t>
      </w:r>
      <w:r w:rsidR="00C97EFB"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>.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Укупни буџетски приходи и примици за нефинансијску имовину на општем фонду у 202</w:t>
      </w:r>
      <w:r w:rsidR="0007175C" w:rsidRPr="002B34F1">
        <w:rPr>
          <w:rFonts w:ascii="Times New Roman" w:hAnsi="Times New Roman" w:cs="Times New Roman"/>
          <w:sz w:val="24"/>
          <w:szCs w:val="24"/>
          <w:lang w:val="sr-Cyrl-BA"/>
        </w:rPr>
        <w:t>2. години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планирани су у износу </w:t>
      </w:r>
      <w:r w:rsidR="002C1518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од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3.303,8 милиона КМ, док су укупни буџетски расходи и издаци за нефинансијску имовину планирани у износу од 3.513,9 милиона КМ. Планирано је да се дефицит покрије из позитивног нето финансирања. </w:t>
      </w:r>
    </w:p>
    <w:p w14:paraId="68AFF8BB" w14:textId="77777777" w:rsidR="00A91951" w:rsidRPr="002B34F1" w:rsidRDefault="00A91951" w:rsidP="007961F0">
      <w:pPr>
        <w:pStyle w:val="Header"/>
        <w:jc w:val="both"/>
        <w:rPr>
          <w:rFonts w:ascii="Times New Roman" w:hAnsi="Times New Roman" w:cs="Times New Roman"/>
          <w:iCs/>
          <w:sz w:val="24"/>
          <w:szCs w:val="24"/>
          <w:lang w:val="sr-Cyrl-BA"/>
        </w:rPr>
      </w:pPr>
    </w:p>
    <w:p w14:paraId="41E60197" w14:textId="77777777" w:rsidR="00510839" w:rsidRPr="002B34F1" w:rsidRDefault="00510839" w:rsidP="007961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Међутим, након усвајања Буџета за 2022. годину, због дешавања у Украјини дошло је до стварања нове кризе и економских </w:t>
      </w:r>
      <w:r w:rsidR="00004436" w:rsidRPr="002B34F1">
        <w:rPr>
          <w:rFonts w:ascii="Times New Roman" w:hAnsi="Times New Roman" w:cs="Times New Roman"/>
          <w:sz w:val="24"/>
          <w:szCs w:val="24"/>
          <w:lang w:val="sr-Cyrl-BA"/>
        </w:rPr>
        <w:t>неизвјесности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у читавом свијету. Инфлација која се јавила као посљедица наведених дешавања значајно је утицала на повећање </w:t>
      </w:r>
      <w:r w:rsidRPr="002B34F1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буџетских прихода, а посебно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прихода од ПДВ-а,</w:t>
      </w:r>
      <w:r w:rsidR="00534C5A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што је довело до промјена у структури буџетских средстава.</w:t>
      </w:r>
      <w:r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Такође, због наведених непредвиђених околности дошло је и до промјена у приоритетима који су се финансирали из буџетских средстава. </w:t>
      </w:r>
    </w:p>
    <w:p w14:paraId="2FD7C7A9" w14:textId="77777777" w:rsidR="00A91951" w:rsidRPr="002B34F1" w:rsidRDefault="00A91951" w:rsidP="007961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4137504" w14:textId="77777777" w:rsidR="00A91951" w:rsidRPr="002B34F1" w:rsidRDefault="002C1518" w:rsidP="007961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>С циљем</w:t>
      </w:r>
      <w:r w:rsidR="00A91951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ублажавања негативних ефеката инфлације и реализације обавеза које су проистекле из законских и подзаконских аката, у 2022. години приступило се изради два ребаланса буџета, будући да је ријеч о изузетно </w:t>
      </w:r>
      <w:r w:rsidR="00004436" w:rsidRPr="002B34F1">
        <w:rPr>
          <w:rFonts w:ascii="Times New Roman" w:hAnsi="Times New Roman" w:cs="Times New Roman"/>
          <w:sz w:val="24"/>
          <w:szCs w:val="24"/>
          <w:lang w:val="sr-Cyrl-BA"/>
        </w:rPr>
        <w:t>неизвјесним</w:t>
      </w:r>
      <w:r w:rsidR="00A91951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околностима које су захтијевале прилагођавања током године.</w:t>
      </w:r>
    </w:p>
    <w:p w14:paraId="797CCD07" w14:textId="77777777" w:rsidR="00A91951" w:rsidRPr="002B34F1" w:rsidRDefault="00A91951" w:rsidP="007961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3D276AF" w14:textId="77777777" w:rsidR="00A91951" w:rsidRPr="002B34F1" w:rsidRDefault="00A91951" w:rsidP="007961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Први </w:t>
      </w:r>
      <w:r w:rsidR="007961F0"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t>р</w:t>
      </w:r>
      <w:r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t>ебаланс буџета Републике Српске за 2022. годину</w:t>
      </w:r>
      <w:r w:rsidR="006813C4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усвојен је на Д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вадесет</w:t>
      </w:r>
      <w:r w:rsidR="002C1518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другој редовној сједници, одржаној 31. маја 2022. године.</w:t>
      </w:r>
      <w:r w:rsidR="008402FD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Разлог за доношење </w:t>
      </w:r>
      <w:r w:rsidR="007961F0" w:rsidRPr="002B34F1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рвог </w:t>
      </w:r>
      <w:r w:rsidR="007961F0" w:rsidRPr="002B34F1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ебаланса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буџета Р</w:t>
      </w:r>
      <w:r w:rsidR="002C1518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епублике Српске за 2022. годину </w:t>
      </w:r>
      <w:r w:rsidR="002E4F63" w:rsidRPr="002B34F1">
        <w:rPr>
          <w:rFonts w:ascii="Times New Roman" w:hAnsi="Times New Roman" w:cs="Times New Roman"/>
          <w:sz w:val="24"/>
          <w:szCs w:val="24"/>
          <w:lang w:val="sr-Cyrl-BA"/>
        </w:rPr>
        <w:t>био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је стварање предуслова за спровођење мјера Владе Републике Српске које се односе на повећање пензија и свих борачких и социјалних давања за 10%, те повећање бруто плата запослених у јавном сектору за 10%, од мјесеца маја 2022. године, а све </w:t>
      </w:r>
      <w:r w:rsidR="002C1518" w:rsidRPr="002B34F1">
        <w:rPr>
          <w:rFonts w:ascii="Times New Roman" w:hAnsi="Times New Roman" w:cs="Times New Roman"/>
          <w:sz w:val="24"/>
          <w:szCs w:val="24"/>
          <w:lang w:val="sr-Cyrl-BA"/>
        </w:rPr>
        <w:t>с циљем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ублажавања негативних ефеката инфлације, као и омогућавање </w:t>
      </w:r>
      <w:r w:rsidR="00004436" w:rsidRPr="002B34F1">
        <w:rPr>
          <w:rFonts w:ascii="Times New Roman" w:hAnsi="Times New Roman" w:cs="Times New Roman"/>
          <w:sz w:val="24"/>
          <w:szCs w:val="24"/>
          <w:lang w:val="sr-Cyrl-BA"/>
        </w:rPr>
        <w:t>реализације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капиталних инвестиција и измирење обавеза у складу са важећим законским прописима и динамиком њиховог досп</w:t>
      </w:r>
      <w:r w:rsidR="00074678" w:rsidRPr="002B34F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јећа.</w:t>
      </w:r>
    </w:p>
    <w:p w14:paraId="7C1FFC33" w14:textId="77777777" w:rsidR="00A91951" w:rsidRPr="002B34F1" w:rsidRDefault="00A91951" w:rsidP="007961F0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Други </w:t>
      </w:r>
      <w:r w:rsidR="00DD33B2"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t>р</w:t>
      </w:r>
      <w:r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ебаланс буџета за 2022. годину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усвојен је на Тридесет</w:t>
      </w:r>
      <w:r w:rsidR="00004436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шестој посебној сједници, одржаној 26. октобра 2022. године.</w:t>
      </w:r>
      <w:r w:rsidR="008402FD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>Приликом</w:t>
      </w:r>
      <w:r w:rsidR="00004436"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израде Другог ребаланса буџета, </w:t>
      </w:r>
      <w:r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када су у питању буџетски приходи, очекивало се да ће већа стопа инфлације у односу на стопу планирану приликом израде </w:t>
      </w:r>
      <w:r w:rsidR="007961F0"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>П</w:t>
      </w:r>
      <w:r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рвог </w:t>
      </w:r>
      <w:r w:rsidR="007961F0"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>р</w:t>
      </w:r>
      <w:r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>ебаланса буџета, као и већи раст плата од првобитно планираног довести до већег раста свих пореских прихода у односу на оне који су планирани у претходном Ребалансу буџета за 2022. годину.</w:t>
      </w:r>
      <w:r w:rsidR="00004436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С друге стране,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спровођење мјера за ублажавање негативних ефеката кризе</w:t>
      </w:r>
      <w:r w:rsidR="00004436" w:rsidRPr="002B34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уз негативне ефекте спољних ризика на макроекономске трендове, довело је до повећања јавне потрошње.</w:t>
      </w:r>
    </w:p>
    <w:p w14:paraId="721B2E8E" w14:textId="77777777" w:rsidR="00E66F11" w:rsidRPr="002B34F1" w:rsidRDefault="00E66F11" w:rsidP="007961F0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7D5EB82" w14:textId="77777777" w:rsidR="00A91951" w:rsidRPr="002B34F1" w:rsidRDefault="00A91951" w:rsidP="007961F0">
      <w:pPr>
        <w:pStyle w:val="Header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>Другим ребалансом Буџета Републике Српске за 2022. годину планиран је буџетски дефицит у износу од 232,2 милиона КМ. П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ланирани су укупни буџетски приходи и примици за нефинансијску имовину у износу 3.777,2 милиона КМ (што је за 473,4 милиона КМ више у односу на Буџет за 2022. год</w:t>
      </w:r>
      <w:r w:rsidR="00004436" w:rsidRPr="002B34F1">
        <w:rPr>
          <w:rFonts w:ascii="Times New Roman" w:hAnsi="Times New Roman" w:cs="Times New Roman"/>
          <w:sz w:val="24"/>
          <w:szCs w:val="24"/>
          <w:lang w:val="sr-Cyrl-BA"/>
        </w:rPr>
        <w:t>ину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), док су укупни буџетски расходи и издаци за нефинансијску имовину планирани у износу од 4.009,5 милиона КМ (што је за 495,5 милиона КМ више у односу на Буџет за 2022. год</w:t>
      </w:r>
      <w:r w:rsidR="00004436" w:rsidRPr="002B34F1">
        <w:rPr>
          <w:rFonts w:ascii="Times New Roman" w:hAnsi="Times New Roman" w:cs="Times New Roman"/>
          <w:sz w:val="24"/>
          <w:szCs w:val="24"/>
          <w:lang w:val="sr-Cyrl-BA"/>
        </w:rPr>
        <w:t>ине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). Најзначајнија одступања Другог ребаланса у </w:t>
      </w:r>
      <w:r w:rsidR="00004436" w:rsidRPr="002B34F1">
        <w:rPr>
          <w:rFonts w:ascii="Times New Roman" w:hAnsi="Times New Roman" w:cs="Times New Roman"/>
          <w:sz w:val="24"/>
          <w:szCs w:val="24"/>
          <w:lang w:val="sr-Cyrl-BA"/>
        </w:rPr>
        <w:t>односу на Буџет за 2022. годину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на </w:t>
      </w:r>
      <w:proofErr w:type="spellStart"/>
      <w:r w:rsidRPr="002B34F1">
        <w:rPr>
          <w:rFonts w:ascii="Times New Roman" w:hAnsi="Times New Roman" w:cs="Times New Roman"/>
          <w:sz w:val="24"/>
          <w:szCs w:val="24"/>
          <w:lang w:val="sr-Cyrl-BA"/>
        </w:rPr>
        <w:t>приходовној</w:t>
      </w:r>
      <w:proofErr w:type="spellEnd"/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страни буџета односе се на пореске приходе (461,5 милиона КМ, од чега је најзначајнија разлика на приходима од индиректних пореза прикупљених преко УИО у износу 223,2 милиона КМ), док на </w:t>
      </w:r>
      <w:proofErr w:type="spellStart"/>
      <w:r w:rsidRPr="002B34F1">
        <w:rPr>
          <w:rFonts w:ascii="Times New Roman" w:hAnsi="Times New Roman" w:cs="Times New Roman"/>
          <w:sz w:val="24"/>
          <w:szCs w:val="24"/>
          <w:lang w:val="sr-Cyrl-BA"/>
        </w:rPr>
        <w:t>расходовној</w:t>
      </w:r>
      <w:proofErr w:type="spellEnd"/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страни најзначајније одступање биљежимо</w:t>
      </w:r>
      <w:r w:rsidR="001957FC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на позицији грантова (129,5 милиона КМ) и дознака на име социјалне заштите које се исплаћују из буџета Репуб</w:t>
      </w:r>
      <w:r w:rsidR="00004436" w:rsidRPr="002B34F1">
        <w:rPr>
          <w:rFonts w:ascii="Times New Roman" w:hAnsi="Times New Roman" w:cs="Times New Roman"/>
          <w:sz w:val="24"/>
          <w:szCs w:val="24"/>
          <w:lang w:val="sr-Cyrl-BA"/>
        </w:rPr>
        <w:t>лике</w:t>
      </w:r>
      <w:r w:rsidR="00417B71" w:rsidRPr="002B34F1">
        <w:rPr>
          <w:rFonts w:ascii="Times New Roman" w:hAnsi="Times New Roman" w:cs="Times New Roman"/>
        </w:rPr>
        <w:t xml:space="preserve"> </w:t>
      </w:r>
      <w:r w:rsidR="00417B71" w:rsidRPr="002B34F1">
        <w:rPr>
          <w:rFonts w:ascii="Times New Roman" w:hAnsi="Times New Roman" w:cs="Times New Roman"/>
          <w:sz w:val="24"/>
          <w:szCs w:val="24"/>
          <w:lang w:val="sr-Cyrl-BA"/>
        </w:rPr>
        <w:t>Српске</w:t>
      </w:r>
      <w:r w:rsidR="00004436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(151,7 милиона КМ).</w:t>
      </w:r>
    </w:p>
    <w:p w14:paraId="04B89FB0" w14:textId="77777777" w:rsidR="00E94437" w:rsidRPr="002B34F1" w:rsidRDefault="00E94437" w:rsidP="00796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>На крају 2022. године извршење буџета у ужем смислу (фонд 01) имало је за ре</w:t>
      </w:r>
      <w:r w:rsidR="00004436" w:rsidRPr="002B34F1">
        <w:rPr>
          <w:rFonts w:ascii="Times New Roman" w:hAnsi="Times New Roman" w:cs="Times New Roman"/>
          <w:sz w:val="24"/>
          <w:szCs w:val="24"/>
          <w:lang w:val="sr-Cyrl-BA"/>
        </w:rPr>
        <w:t>зултат буџетски дефицит од 274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милиона КМ, односно увећан за 18,4 милиона КМ укалкулисаних обавеза износи 292,4 милиона КМ и већи је од пројектованог. </w:t>
      </w:r>
    </w:p>
    <w:p w14:paraId="39D2E506" w14:textId="77777777" w:rsidR="00E94437" w:rsidRPr="002B34F1" w:rsidRDefault="00E94437" w:rsidP="00796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AA8F8F5" w14:textId="77777777" w:rsidR="00E94437" w:rsidRPr="002B34F1" w:rsidRDefault="00E94437" w:rsidP="00796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>На нивоу ГКТ Републике</w:t>
      </w:r>
      <w:r w:rsidR="00417B71" w:rsidRPr="002B34F1">
        <w:rPr>
          <w:rFonts w:ascii="Times New Roman" w:hAnsi="Times New Roman" w:cs="Times New Roman"/>
        </w:rPr>
        <w:t xml:space="preserve"> </w:t>
      </w:r>
      <w:r w:rsidR="00417B71" w:rsidRPr="002B34F1">
        <w:rPr>
          <w:rFonts w:ascii="Times New Roman" w:hAnsi="Times New Roman" w:cs="Times New Roman"/>
          <w:sz w:val="24"/>
          <w:szCs w:val="24"/>
          <w:lang w:val="sr-Cyrl-BA"/>
        </w:rPr>
        <w:t>Српске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, узимајући у обзир све фондове и укалкулисане обавезе, у 2022. години остварен је текући дефицит од 414,6 милиона КМ.</w:t>
      </w:r>
    </w:p>
    <w:p w14:paraId="6F63D0C7" w14:textId="77777777" w:rsidR="00356396" w:rsidRPr="002B34F1" w:rsidRDefault="00356396" w:rsidP="007961F0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34D5335" w14:textId="77777777" w:rsidR="004F17CA" w:rsidRPr="002B34F1" w:rsidRDefault="00170187" w:rsidP="007961F0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t>Утврђени текући дефицит за ниво Републике</w:t>
      </w:r>
      <w:r w:rsidR="00417B71" w:rsidRPr="002B34F1">
        <w:rPr>
          <w:rFonts w:ascii="Times New Roman" w:hAnsi="Times New Roman" w:cs="Times New Roman"/>
        </w:rPr>
        <w:t xml:space="preserve"> </w:t>
      </w:r>
      <w:r w:rsidR="00417B71"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t>Српске</w:t>
      </w:r>
      <w:r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E124EF"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t>(ГКТ</w:t>
      </w:r>
      <w:r w:rsidR="00004436"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E124EF"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t>+</w:t>
      </w:r>
      <w:r w:rsidR="00004436"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E124EF"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ВБК) </w:t>
      </w:r>
      <w:r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износи </w:t>
      </w:r>
      <w:r w:rsidR="003963CE"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t>416,</w:t>
      </w:r>
      <w:r w:rsidR="00F45D0B"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t>4</w:t>
      </w:r>
      <w:r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милион</w:t>
      </w:r>
      <w:r w:rsidR="00B43E58"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t>а</w:t>
      </w:r>
      <w:r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КМ.</w:t>
      </w:r>
    </w:p>
    <w:p w14:paraId="287E0E45" w14:textId="77777777" w:rsidR="00625A06" w:rsidRPr="002B34F1" w:rsidRDefault="00625A06" w:rsidP="007961F0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06F623C5" w14:textId="77777777" w:rsidR="00F45D0B" w:rsidRPr="002B34F1" w:rsidRDefault="00F45D0B" w:rsidP="007961F0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Буџетски дефицит (фонд 01) који је исказала Република </w:t>
      </w:r>
      <w:r w:rsidR="00417B71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Српска 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посљедица </w:t>
      </w:r>
      <w:r w:rsidR="00183C21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је 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ниже реализације буџетских прихода од плана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183C21" w:rsidRPr="002B34F1">
        <w:rPr>
          <w:rFonts w:ascii="Times New Roman" w:hAnsi="Times New Roman" w:cs="Times New Roman"/>
          <w:sz w:val="24"/>
          <w:szCs w:val="24"/>
          <w:lang w:val="sr-Cyrl-BA"/>
        </w:rPr>
        <w:t>као и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повећаног издвајања за реализацију мјера које су спроведене да се ублаже ефекти инфлације, одржи стандард грађана и спријечи настанак озбиљних поремећаја на тржишту. </w:t>
      </w:r>
    </w:p>
    <w:p w14:paraId="2BC6E09C" w14:textId="77777777" w:rsidR="00F45D0B" w:rsidRPr="002B34F1" w:rsidRDefault="00F45D0B" w:rsidP="007961F0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7A38250" w14:textId="77777777" w:rsidR="00F45D0B" w:rsidRPr="002B34F1" w:rsidRDefault="00F45D0B" w:rsidP="007961F0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>Дефицит на осталим рачуноводственим фондовима (02–05) посљедица је финансирања текућих расхода и издатака за нефинансијску имовину из текућих примитака од финансијске имовине и задуживања или (и) прихода и примитака ранијег периода (тј. смањење салда новчаних средстава с почетка периода).</w:t>
      </w:r>
    </w:p>
    <w:p w14:paraId="26CAEF09" w14:textId="77777777" w:rsidR="00F45D0B" w:rsidRPr="002B34F1" w:rsidRDefault="00F45D0B" w:rsidP="007961F0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240FA0B" w14:textId="77777777" w:rsidR="00F45D0B" w:rsidRPr="002B34F1" w:rsidRDefault="00F45D0B" w:rsidP="007961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Извршена је </w:t>
      </w:r>
      <w:r w:rsidR="00004436" w:rsidRPr="002B34F1">
        <w:rPr>
          <w:rFonts w:ascii="Times New Roman" w:hAnsi="Times New Roman" w:cs="Times New Roman"/>
          <w:sz w:val="24"/>
          <w:szCs w:val="24"/>
          <w:lang w:val="sr-Cyrl-BA"/>
        </w:rPr>
        <w:t>корекција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дефицита за 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укалкулисане обавезе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за које нису постојала расположива буџетска средства, а 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евидентиране су на контима расхода обрачунског 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lastRenderedPageBreak/>
        <w:t xml:space="preserve">карактера (због техничке немогућности уноса у систем трезора на контима расхода) на фонду 01, 02 и 05 у укупном износу </w:t>
      </w:r>
      <w:r w:rsidR="00E122D3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од 18,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5 милиона КМ.</w:t>
      </w:r>
    </w:p>
    <w:p w14:paraId="21C566AB" w14:textId="77777777" w:rsidR="008854E2" w:rsidRPr="002B34F1" w:rsidRDefault="008854E2" w:rsidP="007961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2D006C77" w14:textId="77777777" w:rsidR="00F45D0B" w:rsidRPr="002B34F1" w:rsidRDefault="00F45D0B" w:rsidP="00796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>У 2022. години кроз извјештаје буџетских корисника који посједују властите рачуне и послују изван трезора и</w:t>
      </w:r>
      <w:r w:rsidR="00E122D3" w:rsidRPr="002B34F1">
        <w:rPr>
          <w:rFonts w:ascii="Times New Roman" w:hAnsi="Times New Roman" w:cs="Times New Roman"/>
          <w:sz w:val="24"/>
          <w:szCs w:val="24"/>
          <w:lang w:val="sr-Cyrl-BA"/>
        </w:rPr>
        <w:t>сказан је дефицит у износу од 1,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9 милиона КМ.</w:t>
      </w:r>
    </w:p>
    <w:p w14:paraId="044DC981" w14:textId="77777777" w:rsidR="008854E2" w:rsidRPr="002B34F1" w:rsidRDefault="008854E2" w:rsidP="007961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37381D26" w14:textId="77777777" w:rsidR="00FF55A1" w:rsidRPr="002B34F1" w:rsidRDefault="00DC68A5" w:rsidP="007961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У наставку дајемо најзначајнија одступања извршења у 202</w:t>
      </w:r>
      <w:r w:rsidR="00F5665C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2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  <w:r w:rsidR="00321B40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F5665C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години у односу на 2021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. годину</w:t>
      </w:r>
      <w:r w:rsidR="00D9204D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:</w:t>
      </w:r>
    </w:p>
    <w:p w14:paraId="7EC318FC" w14:textId="77777777" w:rsidR="003D0C14" w:rsidRPr="002B34F1" w:rsidRDefault="003D0C14" w:rsidP="007961F0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sr-Cyrl-BA"/>
        </w:rPr>
      </w:pPr>
    </w:p>
    <w:p w14:paraId="1DA2881D" w14:textId="77777777" w:rsidR="00FF55A1" w:rsidRPr="002B34F1" w:rsidRDefault="00FF55A1" w:rsidP="00796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BA"/>
        </w:rPr>
      </w:pPr>
      <w:r w:rsidRPr="002B34F1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Приходи и примици </w:t>
      </w:r>
      <w:r w:rsidR="000D2033" w:rsidRPr="002B34F1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за нефинансијску имовину </w:t>
      </w:r>
      <w:r w:rsidRPr="002B34F1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у 202</w:t>
      </w:r>
      <w:r w:rsidR="004D5AD0" w:rsidRPr="002B34F1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2</w:t>
      </w:r>
      <w:r w:rsidRPr="002B34F1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. год</w:t>
      </w:r>
      <w:r w:rsidR="003009BD" w:rsidRPr="002B34F1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ини већи</w:t>
      </w:r>
      <w:r w:rsidR="006F6208" w:rsidRPr="002B34F1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 су за </w:t>
      </w:r>
      <w:r w:rsidR="00C057B7" w:rsidRPr="002B34F1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338,</w:t>
      </w:r>
      <w:r w:rsidR="004D5AD0" w:rsidRPr="002B34F1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1 милион КМ у односу на 2021</w:t>
      </w:r>
      <w:r w:rsidR="006F6208" w:rsidRPr="002B34F1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. годину</w:t>
      </w:r>
      <w:r w:rsidR="00004436" w:rsidRPr="002B34F1">
        <w:rPr>
          <w:rFonts w:ascii="Times New Roman" w:hAnsi="Times New Roman" w:cs="Times New Roman"/>
          <w:sz w:val="24"/>
          <w:szCs w:val="24"/>
          <w:u w:val="single"/>
          <w:lang w:val="sr-Cyrl-BA"/>
        </w:rPr>
        <w:t>.</w:t>
      </w:r>
    </w:p>
    <w:p w14:paraId="7F4C9114" w14:textId="77777777" w:rsidR="00FA7EFD" w:rsidRPr="002B34F1" w:rsidRDefault="00FA7EFD" w:rsidP="00796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BA"/>
        </w:rPr>
      </w:pPr>
    </w:p>
    <w:p w14:paraId="3766B696" w14:textId="77777777" w:rsidR="007849AD" w:rsidRPr="002B34F1" w:rsidRDefault="007849AD" w:rsidP="007961F0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Готово сви буџетски приходи у 2022. години биљеже раст у односу на 2021. годину, а једини значајнији пад </w:t>
      </w:r>
      <w:r w:rsidR="00545170" w:rsidRPr="002B34F1">
        <w:rPr>
          <w:rFonts w:ascii="Times New Roman" w:hAnsi="Times New Roman" w:cs="Times New Roman"/>
          <w:sz w:val="24"/>
          <w:szCs w:val="24"/>
          <w:lang w:val="sr-Cyrl-BA"/>
        </w:rPr>
        <w:t>од 202,</w:t>
      </w:r>
      <w:r w:rsidR="00B77010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6 милиона КМ </w:t>
      </w:r>
      <w:r w:rsidR="00F93AC6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забиљежен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је на осталим непореским приходима</w:t>
      </w:r>
      <w:r w:rsidR="00B77010" w:rsidRPr="002B34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F93AC6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на којим </w:t>
      </w:r>
      <w:r w:rsidR="006A64B6" w:rsidRPr="002B34F1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E958B1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у 2021. години </w:t>
      </w:r>
      <w:r w:rsidR="00F93AC6" w:rsidRPr="002B34F1">
        <w:rPr>
          <w:rFonts w:ascii="Times New Roman" w:hAnsi="Times New Roman" w:cs="Times New Roman"/>
          <w:sz w:val="24"/>
          <w:szCs w:val="24"/>
          <w:lang w:val="sr-Cyrl-BA"/>
        </w:rPr>
        <w:t>евидентирана једнократна уплата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од </w:t>
      </w:r>
      <w:r w:rsidR="00545170"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>200,</w:t>
      </w:r>
      <w:r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>8 милиона КМ од ст</w:t>
      </w:r>
      <w:r w:rsidR="005F711F"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>ране ММФ-а дозначена</w:t>
      </w:r>
      <w:r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по основу алокације SDR-a. </w:t>
      </w:r>
    </w:p>
    <w:p w14:paraId="7A7757F4" w14:textId="77777777" w:rsidR="003C5794" w:rsidRPr="002B34F1" w:rsidRDefault="004A6960" w:rsidP="00796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>Најзначајнији раст</w:t>
      </w:r>
      <w:r w:rsidR="00101695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прихода у 202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101695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. години забиљежен је на индиректним порезима прикупљеним преко УИО,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доприносу за социјално осигурање и </w:t>
      </w:r>
      <w:r w:rsidR="00101695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порезу на добит: </w:t>
      </w:r>
    </w:p>
    <w:p w14:paraId="4F762613" w14:textId="77777777" w:rsidR="004A6960" w:rsidRPr="002B34F1" w:rsidRDefault="00101695" w:rsidP="007961F0">
      <w:pPr>
        <w:pStyle w:val="ListParagraph"/>
        <w:numPr>
          <w:ilvl w:val="0"/>
          <w:numId w:val="10"/>
        </w:numPr>
        <w:spacing w:before="0" w:after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B34F1">
        <w:rPr>
          <w:rFonts w:ascii="Times New Roman" w:hAnsi="Times New Roman"/>
          <w:b/>
          <w:sz w:val="24"/>
          <w:szCs w:val="24"/>
          <w:lang w:val="sr-Cyrl-BA"/>
        </w:rPr>
        <w:t>Приходи од индиректних пореза</w:t>
      </w:r>
      <w:r w:rsidR="007C7F96" w:rsidRPr="002B34F1">
        <w:rPr>
          <w:rFonts w:ascii="Times New Roman" w:hAnsi="Times New Roman"/>
          <w:sz w:val="24"/>
          <w:szCs w:val="24"/>
          <w:lang w:val="sr-Cyrl-BA"/>
        </w:rPr>
        <w:t xml:space="preserve"> дозначени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 од УИО</w:t>
      </w:r>
      <w:r w:rsidR="004A6960" w:rsidRPr="002B34F1">
        <w:rPr>
          <w:rFonts w:ascii="Times New Roman" w:hAnsi="Times New Roman"/>
          <w:sz w:val="24"/>
          <w:szCs w:val="24"/>
          <w:lang w:val="sr-Cyrl-BA"/>
        </w:rPr>
        <w:t xml:space="preserve"> (укљу</w:t>
      </w:r>
      <w:r w:rsidR="00A974B1" w:rsidRPr="002B34F1">
        <w:rPr>
          <w:rFonts w:ascii="Times New Roman" w:hAnsi="Times New Roman"/>
          <w:sz w:val="24"/>
          <w:szCs w:val="24"/>
          <w:lang w:val="sr-Cyrl-BA"/>
        </w:rPr>
        <w:t>чујући путарине) већи су за 202,</w:t>
      </w:r>
      <w:r w:rsidR="004A6960" w:rsidRPr="002B34F1">
        <w:rPr>
          <w:rFonts w:ascii="Times New Roman" w:hAnsi="Times New Roman"/>
          <w:sz w:val="24"/>
          <w:szCs w:val="24"/>
          <w:lang w:val="sr-Cyrl-BA"/>
        </w:rPr>
        <w:t>8</w:t>
      </w:r>
      <w:r w:rsidR="00EC2535" w:rsidRPr="002B34F1">
        <w:rPr>
          <w:rFonts w:ascii="Times New Roman" w:hAnsi="Times New Roman"/>
          <w:sz w:val="24"/>
          <w:szCs w:val="24"/>
          <w:lang w:val="sr-Cyrl-BA"/>
        </w:rPr>
        <w:t xml:space="preserve"> милиона КМ</w:t>
      </w:r>
      <w:r w:rsidR="00C63045" w:rsidRPr="002B34F1">
        <w:rPr>
          <w:rFonts w:ascii="Times New Roman" w:hAnsi="Times New Roman"/>
          <w:sz w:val="24"/>
          <w:szCs w:val="24"/>
          <w:lang w:val="sr-Cyrl-BA"/>
        </w:rPr>
        <w:t>,</w:t>
      </w:r>
      <w:r w:rsidR="004A6960" w:rsidRPr="002B34F1">
        <w:rPr>
          <w:rFonts w:ascii="Times New Roman" w:hAnsi="Times New Roman"/>
          <w:sz w:val="24"/>
          <w:szCs w:val="24"/>
          <w:lang w:val="sr-Cyrl-BA"/>
        </w:rPr>
        <w:t xml:space="preserve"> односно за 13</w:t>
      </w:r>
      <w:r w:rsidR="00EC2535" w:rsidRPr="002B34F1">
        <w:rPr>
          <w:rFonts w:ascii="Times New Roman" w:hAnsi="Times New Roman"/>
          <w:sz w:val="24"/>
          <w:szCs w:val="24"/>
          <w:lang w:val="sr-Cyrl-BA"/>
        </w:rPr>
        <w:t>%</w:t>
      </w:r>
      <w:r w:rsidR="004A6960" w:rsidRPr="002B34F1">
        <w:rPr>
          <w:rFonts w:ascii="Times New Roman" w:hAnsi="Times New Roman"/>
          <w:sz w:val="24"/>
          <w:szCs w:val="24"/>
          <w:lang w:val="sr-Cyrl-BA"/>
        </w:rPr>
        <w:t xml:space="preserve"> у односу на 2021</w:t>
      </w:r>
      <w:r w:rsidR="00EF7782" w:rsidRPr="002B34F1">
        <w:rPr>
          <w:rFonts w:ascii="Times New Roman" w:hAnsi="Times New Roman"/>
          <w:sz w:val="24"/>
          <w:szCs w:val="24"/>
          <w:lang w:val="sr-Cyrl-BA"/>
        </w:rPr>
        <w:t>. годину</w:t>
      </w:r>
      <w:r w:rsidR="00EC2535" w:rsidRPr="002B34F1">
        <w:rPr>
          <w:rFonts w:ascii="Times New Roman" w:hAnsi="Times New Roman"/>
          <w:sz w:val="24"/>
          <w:szCs w:val="24"/>
          <w:lang w:val="sr-Cyrl-BA"/>
        </w:rPr>
        <w:t>.</w:t>
      </w:r>
      <w:r w:rsidR="009F6B4E" w:rsidRPr="002B34F1">
        <w:rPr>
          <w:rFonts w:ascii="Times New Roman" w:hAnsi="Times New Roman"/>
          <w:sz w:val="24"/>
          <w:szCs w:val="24"/>
          <w:lang w:val="sr-Cyrl-BA"/>
        </w:rPr>
        <w:t xml:space="preserve"> Код прихода од инд</w:t>
      </w:r>
      <w:r w:rsidR="004A6960" w:rsidRPr="002B34F1">
        <w:rPr>
          <w:rFonts w:ascii="Times New Roman" w:hAnsi="Times New Roman"/>
          <w:sz w:val="24"/>
          <w:szCs w:val="24"/>
          <w:lang w:val="sr-Cyrl-BA"/>
        </w:rPr>
        <w:t>иректних пореза дошло је до раста</w:t>
      </w:r>
      <w:r w:rsidR="009F6B4E" w:rsidRPr="002B34F1">
        <w:rPr>
          <w:rFonts w:ascii="Times New Roman" w:hAnsi="Times New Roman"/>
          <w:sz w:val="24"/>
          <w:szCs w:val="24"/>
          <w:lang w:val="sr-Cyrl-BA"/>
        </w:rPr>
        <w:t xml:space="preserve"> прихода од свих врста пореза </w:t>
      </w:r>
      <w:r w:rsidR="004A6960" w:rsidRPr="002B34F1">
        <w:rPr>
          <w:rFonts w:ascii="Times New Roman" w:hAnsi="Times New Roman"/>
          <w:sz w:val="24"/>
          <w:szCs w:val="24"/>
          <w:lang w:val="sr-Cyrl-BA"/>
        </w:rPr>
        <w:t>(ПДВ, царина, акциза, путарина).</w:t>
      </w:r>
      <w:r w:rsidR="009F6B4E" w:rsidRPr="002B34F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A6960" w:rsidRPr="002B34F1">
        <w:rPr>
          <w:rFonts w:ascii="Times New Roman" w:hAnsi="Times New Roman"/>
          <w:sz w:val="24"/>
          <w:szCs w:val="24"/>
          <w:lang w:val="sr-Cyrl-BA"/>
        </w:rPr>
        <w:t>Раст цијена који је забиљежен у току 2022. године одразио се на значајнији раст прихода од индиректних пореза. На раст поменутог прихода утицала је и расподјела прихода од индиректних пореза за Републику Српску по вишем коефицијенту у односу на коефицијенте који су се примјењивали претходне године.</w:t>
      </w:r>
    </w:p>
    <w:p w14:paraId="029F7941" w14:textId="77777777" w:rsidR="000104AA" w:rsidRPr="002B34F1" w:rsidRDefault="000104AA" w:rsidP="007961F0">
      <w:pPr>
        <w:pStyle w:val="ListParagraph"/>
        <w:numPr>
          <w:ilvl w:val="0"/>
          <w:numId w:val="10"/>
        </w:numPr>
        <w:spacing w:before="0" w:after="0"/>
        <w:jc w:val="both"/>
        <w:rPr>
          <w:rFonts w:ascii="Times New Roman" w:hAnsi="Times New Roman"/>
          <w:iCs/>
          <w:sz w:val="24"/>
          <w:szCs w:val="24"/>
          <w:lang w:val="sr-Cyrl-BA"/>
        </w:rPr>
      </w:pPr>
      <w:r w:rsidRPr="002B34F1">
        <w:rPr>
          <w:rFonts w:ascii="Times New Roman" w:hAnsi="Times New Roman"/>
          <w:b/>
          <w:iCs/>
          <w:sz w:val="24"/>
          <w:szCs w:val="24"/>
          <w:lang w:val="sr-Cyrl-BA"/>
        </w:rPr>
        <w:t>Доприноси за социјално осигурање</w:t>
      </w:r>
      <w:r w:rsidRPr="002B34F1">
        <w:rPr>
          <w:rFonts w:ascii="Times New Roman" w:hAnsi="Times New Roman"/>
          <w:iCs/>
          <w:sz w:val="24"/>
          <w:szCs w:val="24"/>
          <w:lang w:val="sr-Cyrl-BA"/>
        </w:rPr>
        <w:t xml:space="preserve"> 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(пензијско и инвалидско осигурање) </w:t>
      </w:r>
      <w:r w:rsidRPr="002B34F1">
        <w:rPr>
          <w:rFonts w:ascii="Times New Roman" w:hAnsi="Times New Roman"/>
          <w:iCs/>
          <w:sz w:val="24"/>
          <w:szCs w:val="24"/>
          <w:lang w:val="sr-Cyrl-BA"/>
        </w:rPr>
        <w:t xml:space="preserve">у </w:t>
      </w:r>
      <w:r w:rsidR="00E345AA" w:rsidRPr="002B34F1">
        <w:rPr>
          <w:rFonts w:ascii="Times New Roman" w:hAnsi="Times New Roman"/>
          <w:iCs/>
          <w:sz w:val="24"/>
          <w:szCs w:val="24"/>
          <w:lang w:val="sr-Cyrl-BA"/>
        </w:rPr>
        <w:t xml:space="preserve">2022. години </w:t>
      </w:r>
      <w:r w:rsidR="00AF398F" w:rsidRPr="002B34F1">
        <w:rPr>
          <w:rFonts w:ascii="Times New Roman" w:hAnsi="Times New Roman"/>
          <w:iCs/>
          <w:sz w:val="24"/>
          <w:szCs w:val="24"/>
          <w:lang w:val="sr-Cyrl-BA"/>
        </w:rPr>
        <w:t>већи су</w:t>
      </w:r>
      <w:r w:rsidR="00496477" w:rsidRPr="002B34F1">
        <w:rPr>
          <w:rFonts w:ascii="Times New Roman" w:hAnsi="Times New Roman"/>
          <w:iCs/>
          <w:sz w:val="24"/>
          <w:szCs w:val="24"/>
          <w:lang w:val="sr-Cyrl-BA"/>
        </w:rPr>
        <w:t xml:space="preserve"> за 153,</w:t>
      </w:r>
      <w:r w:rsidR="00364C1D" w:rsidRPr="002B34F1">
        <w:rPr>
          <w:rFonts w:ascii="Times New Roman" w:hAnsi="Times New Roman"/>
          <w:iCs/>
          <w:sz w:val="24"/>
          <w:szCs w:val="24"/>
          <w:lang w:val="sr-Cyrl-BA"/>
        </w:rPr>
        <w:t xml:space="preserve">6 милиона </w:t>
      </w:r>
      <w:r w:rsidR="00AF398F" w:rsidRPr="002B34F1">
        <w:rPr>
          <w:rFonts w:ascii="Times New Roman" w:hAnsi="Times New Roman"/>
          <w:iCs/>
          <w:sz w:val="24"/>
          <w:szCs w:val="24"/>
          <w:lang w:val="sr-Cyrl-BA"/>
        </w:rPr>
        <w:t xml:space="preserve">КМ, односно </w:t>
      </w:r>
      <w:r w:rsidRPr="002B34F1">
        <w:rPr>
          <w:rFonts w:ascii="Times New Roman" w:hAnsi="Times New Roman"/>
          <w:iCs/>
          <w:sz w:val="24"/>
          <w:szCs w:val="24"/>
          <w:lang w:val="sr-Cyrl-BA"/>
        </w:rPr>
        <w:t xml:space="preserve">за 15% у односу на њихово остварење у 2021. години. 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На раст ових прихода утицао је раст плата </w:t>
      </w:r>
      <w:r w:rsidR="00DC6206" w:rsidRPr="002B34F1">
        <w:rPr>
          <w:rFonts w:ascii="Times New Roman" w:hAnsi="Times New Roman"/>
          <w:sz w:val="24"/>
          <w:szCs w:val="24"/>
          <w:lang w:val="sr-Cyrl-BA"/>
        </w:rPr>
        <w:t>у 2022. години</w:t>
      </w:r>
      <w:r w:rsidR="00C7203B" w:rsidRPr="002B34F1">
        <w:rPr>
          <w:rFonts w:ascii="Times New Roman" w:hAnsi="Times New Roman"/>
          <w:sz w:val="24"/>
          <w:szCs w:val="24"/>
          <w:lang w:val="sr-Cyrl-BA"/>
        </w:rPr>
        <w:t xml:space="preserve"> за 13,9%</w:t>
      </w:r>
      <w:r w:rsidR="005C4A7E" w:rsidRPr="002B34F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и </w:t>
      </w:r>
      <w:r w:rsidR="00D06CEB" w:rsidRPr="002B34F1">
        <w:rPr>
          <w:rFonts w:ascii="Times New Roman" w:hAnsi="Times New Roman"/>
          <w:sz w:val="24"/>
          <w:szCs w:val="24"/>
          <w:lang w:val="sr-Cyrl-BA"/>
        </w:rPr>
        <w:t xml:space="preserve">раст </w:t>
      </w:r>
      <w:r w:rsidRPr="002B34F1">
        <w:rPr>
          <w:rFonts w:ascii="Times New Roman" w:hAnsi="Times New Roman"/>
          <w:sz w:val="24"/>
          <w:szCs w:val="24"/>
          <w:lang w:val="sr-Cyrl-BA"/>
        </w:rPr>
        <w:t>броја запослених</w:t>
      </w:r>
      <w:r w:rsidR="00C7203B" w:rsidRPr="002B34F1">
        <w:rPr>
          <w:rFonts w:ascii="Times New Roman" w:hAnsi="Times New Roman"/>
          <w:sz w:val="24"/>
          <w:szCs w:val="24"/>
          <w:lang w:val="sr-Cyrl-BA"/>
        </w:rPr>
        <w:t xml:space="preserve"> за 2,7% у односу на 2021. годину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3AFB57A1" w14:textId="77777777" w:rsidR="003A42D5" w:rsidRPr="002B34F1" w:rsidRDefault="003A42D5" w:rsidP="007961F0">
      <w:pPr>
        <w:pStyle w:val="ListParagraph"/>
        <w:numPr>
          <w:ilvl w:val="0"/>
          <w:numId w:val="10"/>
        </w:numPr>
        <w:spacing w:before="0" w:after="0"/>
        <w:jc w:val="both"/>
        <w:rPr>
          <w:rFonts w:ascii="Times New Roman" w:hAnsi="Times New Roman"/>
          <w:iCs/>
          <w:sz w:val="24"/>
          <w:szCs w:val="24"/>
          <w:lang w:val="sr-Cyrl-BA"/>
        </w:rPr>
      </w:pPr>
      <w:r w:rsidRPr="002B34F1">
        <w:rPr>
          <w:rFonts w:ascii="Times New Roman" w:hAnsi="Times New Roman"/>
          <w:b/>
          <w:iCs/>
          <w:sz w:val="24"/>
          <w:szCs w:val="24"/>
          <w:lang w:val="sr-Cyrl-BA"/>
        </w:rPr>
        <w:t>Приходи од пореза на добит</w:t>
      </w:r>
      <w:r w:rsidRPr="002B34F1">
        <w:rPr>
          <w:rFonts w:ascii="Times New Roman" w:hAnsi="Times New Roman"/>
          <w:iCs/>
          <w:sz w:val="24"/>
          <w:szCs w:val="24"/>
          <w:lang w:val="sr-Cyrl-BA"/>
        </w:rPr>
        <w:t xml:space="preserve"> већи су за 78,1 милион КМ, односно за 32% у односу на 2021. годину. Порез на добит плаћа се </w:t>
      </w:r>
      <w:proofErr w:type="spellStart"/>
      <w:r w:rsidRPr="002B34F1">
        <w:rPr>
          <w:rFonts w:ascii="Times New Roman" w:hAnsi="Times New Roman"/>
          <w:iCs/>
          <w:sz w:val="24"/>
          <w:szCs w:val="24"/>
          <w:lang w:val="sr-Cyrl-BA"/>
        </w:rPr>
        <w:t>аконтативно</w:t>
      </w:r>
      <w:proofErr w:type="spellEnd"/>
      <w:r w:rsidRPr="002B34F1">
        <w:rPr>
          <w:rFonts w:ascii="Times New Roman" w:hAnsi="Times New Roman"/>
          <w:iCs/>
          <w:sz w:val="24"/>
          <w:szCs w:val="24"/>
          <w:lang w:val="sr-Cyrl-BA"/>
        </w:rPr>
        <w:t xml:space="preserve"> на основу очекиваних резултата пословања, док се евентуална разлика по утврђеном финансијском резултату на крају обрачунске годи</w:t>
      </w:r>
      <w:r w:rsidR="00004436" w:rsidRPr="002B34F1">
        <w:rPr>
          <w:rFonts w:ascii="Times New Roman" w:hAnsi="Times New Roman"/>
          <w:iCs/>
          <w:sz w:val="24"/>
          <w:szCs w:val="24"/>
          <w:lang w:val="sr-Cyrl-BA"/>
        </w:rPr>
        <w:t>не уплаћује најкасније до 31. марта</w:t>
      </w:r>
      <w:r w:rsidRPr="002B34F1">
        <w:rPr>
          <w:rFonts w:ascii="Times New Roman" w:hAnsi="Times New Roman"/>
          <w:iCs/>
          <w:sz w:val="24"/>
          <w:szCs w:val="24"/>
          <w:lang w:val="sr-Cyrl-BA"/>
        </w:rPr>
        <w:t xml:space="preserve"> наредне године. Према подацима АПИФ-а добит прије опорезивања привредних субјеката у Републици Српској за 2021. годину већа је за 18,4% у односу на 2020. годину, што је свакако утицало на веће уплате пореза по годишњој пријави у 2022. години.</w:t>
      </w:r>
      <w:r w:rsidR="00534C5A" w:rsidRPr="002B34F1">
        <w:rPr>
          <w:rFonts w:ascii="Times New Roman" w:hAnsi="Times New Roman"/>
          <w:iCs/>
          <w:sz w:val="24"/>
          <w:szCs w:val="24"/>
          <w:lang w:val="sr-Cyrl-BA"/>
        </w:rPr>
        <w:t xml:space="preserve"> </w:t>
      </w:r>
    </w:p>
    <w:p w14:paraId="575D8AFD" w14:textId="77777777" w:rsidR="000D3E8A" w:rsidRPr="002B34F1" w:rsidRDefault="00E345AA" w:rsidP="007961F0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Узимајући у обзир да је у 2022. години учешће индиректних пореза у укупним буџетским приходима </w:t>
      </w:r>
      <w:r w:rsidR="00C92DDE"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>46,6%</w:t>
      </w:r>
      <w:r w:rsidR="004C54D3"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>,</w:t>
      </w:r>
      <w:r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од њиховог остварења у великој мјери зависила је могућност извршења планираног буџета.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Међутим, домаћа потрошња је ипак била испод нивоа који се очекивао када се радио Други р</w:t>
      </w:r>
      <w:r w:rsidR="00486273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ебаланс </w:t>
      </w:r>
      <w:r w:rsidR="00955FE0" w:rsidRPr="002B34F1">
        <w:rPr>
          <w:rFonts w:ascii="Times New Roman" w:hAnsi="Times New Roman" w:cs="Times New Roman"/>
          <w:sz w:val="24"/>
          <w:szCs w:val="24"/>
          <w:lang w:val="sr-Cyrl-BA"/>
        </w:rPr>
        <w:t>б</w:t>
      </w:r>
      <w:r w:rsidR="00486273" w:rsidRPr="002B34F1">
        <w:rPr>
          <w:rFonts w:ascii="Times New Roman" w:hAnsi="Times New Roman" w:cs="Times New Roman"/>
          <w:sz w:val="24"/>
          <w:szCs w:val="24"/>
          <w:lang w:val="sr-Cyrl-BA"/>
        </w:rPr>
        <w:t>уџета за 2022. годину.</w:t>
      </w:r>
    </w:p>
    <w:p w14:paraId="3AA9F20A" w14:textId="77777777" w:rsidR="00F82A77" w:rsidRPr="002B34F1" w:rsidRDefault="00F82A77" w:rsidP="007961F0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14:paraId="24B73337" w14:textId="77777777" w:rsidR="00E94260" w:rsidRPr="002B34F1" w:rsidRDefault="0014342D" w:rsidP="007961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  <w:r w:rsidRPr="002B34F1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Расходи </w:t>
      </w:r>
      <w:r w:rsidR="00E94260" w:rsidRPr="002B34F1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и издаци </w:t>
      </w:r>
      <w:r w:rsidR="002604A4" w:rsidRPr="002B34F1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за нефинансијску имовину </w:t>
      </w:r>
      <w:r w:rsidR="00B21661" w:rsidRPr="002B34F1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у 2022</w:t>
      </w:r>
      <w:r w:rsidR="00E94260" w:rsidRPr="002B34F1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. години већи су за </w:t>
      </w:r>
      <w:r w:rsidR="00144EB5" w:rsidRPr="002B34F1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669,</w:t>
      </w:r>
      <w:r w:rsidR="00B21661" w:rsidRPr="002B34F1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9</w:t>
      </w:r>
      <w:r w:rsidR="00E94260" w:rsidRPr="002B34F1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 милиона КМ</w:t>
      </w:r>
      <w:r w:rsidR="00B21661" w:rsidRPr="002B34F1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 xml:space="preserve"> у односу на 2021</w:t>
      </w:r>
      <w:r w:rsidR="00512472" w:rsidRPr="002B34F1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. годину</w:t>
      </w:r>
      <w:r w:rsidR="00E94260" w:rsidRPr="002B34F1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.</w:t>
      </w:r>
    </w:p>
    <w:p w14:paraId="233486B2" w14:textId="77777777" w:rsidR="00FA7EFD" w:rsidRPr="002B34F1" w:rsidRDefault="00FA7EFD" w:rsidP="007961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14:paraId="3120199B" w14:textId="77777777" w:rsidR="00B43409" w:rsidRPr="002B34F1" w:rsidRDefault="00B9160D" w:rsidP="007961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Највећ</w:t>
      </w:r>
      <w:r w:rsidR="00EA33BD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а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повећањ</w:t>
      </w:r>
      <w:r w:rsidR="00EA33BD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а на </w:t>
      </w:r>
      <w:proofErr w:type="spellStart"/>
      <w:r w:rsidR="00EA33BD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расходовној</w:t>
      </w:r>
      <w:proofErr w:type="spellEnd"/>
      <w:r w:rsidR="00EA33BD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страни </w:t>
      </w:r>
      <w:r w:rsidR="00C350C0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у 2022. години </w:t>
      </w:r>
      <w:r w:rsidR="00EA33BD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су на расходима за лична примања запослених, дознакам</w:t>
      </w:r>
      <w:r w:rsidR="008E168C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а</w:t>
      </w:r>
      <w:r w:rsidR="00EA33BD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по основу пензија</w:t>
      </w:r>
      <w:r w:rsidR="00B21661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, дознакама на име социјалне заштите које се исплаћују из буџета, грантовима</w:t>
      </w:r>
      <w:r w:rsidR="00EA33BD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 трансферима</w:t>
      </w:r>
      <w:r w:rsidR="00B96051" w:rsidRPr="002B34F1">
        <w:rPr>
          <w:rFonts w:ascii="Times New Roman" w:hAnsi="Times New Roman" w:cs="Times New Roman"/>
          <w:b/>
          <w:color w:val="FF0000"/>
          <w:sz w:val="24"/>
          <w:szCs w:val="24"/>
          <w:lang w:val="sr-Cyrl-BA"/>
        </w:rPr>
        <w:t xml:space="preserve"> </w:t>
      </w:r>
      <w:r w:rsidR="00B96051" w:rsidRPr="002B34F1">
        <w:rPr>
          <w:rFonts w:ascii="Times New Roman" w:hAnsi="Times New Roman" w:cs="Times New Roman"/>
          <w:sz w:val="24"/>
          <w:szCs w:val="24"/>
          <w:lang w:val="sr-Cyrl-BA"/>
        </w:rPr>
        <w:t>између различитих јединица власти</w:t>
      </w:r>
      <w:r w:rsidR="00EA33BD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378318F7" w14:textId="77777777" w:rsidR="00A57437" w:rsidRPr="002B34F1" w:rsidRDefault="00AE3BC1" w:rsidP="007961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BA"/>
        </w:rPr>
      </w:pPr>
      <w:r w:rsidRPr="002B34F1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lastRenderedPageBreak/>
        <w:t>Расходи за лична примања запослених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ED33A6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већи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су за </w:t>
      </w:r>
      <w:r w:rsidR="00144EB5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148,</w:t>
      </w:r>
      <w:r w:rsidR="00A57437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9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милиона КМ</w:t>
      </w:r>
      <w:r w:rsidR="007D37E6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="00534C5A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172BF8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односно за 17% </w:t>
      </w:r>
      <w:r w:rsidR="00680992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у односу на 2021</w:t>
      </w:r>
      <w:r w:rsidR="00F1345C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. годину</w:t>
      </w:r>
      <w:r w:rsidR="00172BF8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A57437" w:rsidRPr="002B34F1">
        <w:rPr>
          <w:rFonts w:ascii="Times New Roman" w:hAnsi="Times New Roman" w:cs="Times New Roman"/>
          <w:sz w:val="24"/>
          <w:szCs w:val="24"/>
          <w:lang w:val="sr-Cyrl-BA"/>
        </w:rPr>
        <w:t>Повећањем плата у 2022. години настојао се одржати стандард грађана.</w:t>
      </w:r>
      <w:r w:rsidR="00A57437"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Од маја 2022. године дошло до повећања цијене рада</w:t>
      </w:r>
      <w:r w:rsidR="007D37E6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са 100 КМ на 110 КМ</w:t>
      </w:r>
      <w:r w:rsidR="00A57437" w:rsidRPr="002B34F1">
        <w:rPr>
          <w:rFonts w:ascii="Times New Roman" w:hAnsi="Times New Roman" w:cs="Times New Roman"/>
          <w:iCs/>
          <w:sz w:val="24"/>
          <w:szCs w:val="24"/>
          <w:vertAlign w:val="superscript"/>
          <w:lang w:val="sr-Cyrl-BA"/>
        </w:rPr>
        <w:footnoteReference w:id="3"/>
      </w:r>
      <w:r w:rsidR="00A57437" w:rsidRPr="002B34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A57437"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а након тога и повећања платних коефицијената у јавном сектору</w:t>
      </w:r>
      <w:r w:rsidR="00A57437" w:rsidRPr="002B34F1">
        <w:rPr>
          <w:rFonts w:ascii="Times New Roman" w:hAnsi="Times New Roman" w:cs="Times New Roman"/>
          <w:iCs/>
          <w:sz w:val="24"/>
          <w:szCs w:val="24"/>
          <w:vertAlign w:val="superscript"/>
          <w:lang w:val="sr-Cyrl-BA"/>
        </w:rPr>
        <w:footnoteReference w:id="4"/>
      </w:r>
      <w:r w:rsidR="007D37E6"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 w:rsidR="00A57437"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>и раста најниже плате</w:t>
      </w:r>
      <w:r w:rsidR="00A57437" w:rsidRPr="002B34F1">
        <w:rPr>
          <w:rFonts w:ascii="Times New Roman" w:hAnsi="Times New Roman" w:cs="Times New Roman"/>
          <w:iCs/>
          <w:sz w:val="24"/>
          <w:szCs w:val="24"/>
          <w:vertAlign w:val="superscript"/>
          <w:lang w:val="sr-Cyrl-BA"/>
        </w:rPr>
        <w:footnoteReference w:id="5"/>
      </w:r>
      <w:r w:rsidR="007D37E6"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 w:rsidR="00A57437"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>у Републици Срп</w:t>
      </w:r>
      <w:r w:rsidR="000A6F5D"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>с</w:t>
      </w:r>
      <w:r w:rsidR="00A57437"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кој. </w:t>
      </w:r>
    </w:p>
    <w:p w14:paraId="3B618469" w14:textId="77777777" w:rsidR="0026624D" w:rsidRPr="002B34F1" w:rsidRDefault="0026624D" w:rsidP="007961F0">
      <w:pPr>
        <w:tabs>
          <w:tab w:val="center" w:pos="4680"/>
          <w:tab w:val="right" w:pos="9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Calibri" w:hAnsi="Times New Roman" w:cs="Times New Roman"/>
          <w:b/>
          <w:color w:val="000000"/>
          <w:sz w:val="24"/>
          <w:szCs w:val="24"/>
          <w:lang w:val="sr-Cyrl-BA"/>
        </w:rPr>
        <w:t>Дознаке по основу пензијског осигурања</w:t>
      </w:r>
      <w:r w:rsidRPr="002B34F1">
        <w:rPr>
          <w:rFonts w:ascii="Times New Roman" w:eastAsia="Calibri" w:hAnsi="Times New Roman" w:cs="Times New Roman"/>
          <w:color w:val="000000"/>
          <w:sz w:val="24"/>
          <w:szCs w:val="24"/>
          <w:lang w:val="sr-Cyrl-BA"/>
        </w:rPr>
        <w:t xml:space="preserve"> у 2022. години веће су за 155,5 милиона КМ од извршења у 2021. години. Повећање је резултат 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редовног и ванредног усклађивања општег</w:t>
      </w:r>
      <w:r w:rsidR="007D37E6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бода и пензија за 4% , почев од 1. јануара 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2022. године и ванредног усклађивања општег </w:t>
      </w:r>
      <w:r w:rsidR="007D37E6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бода и пензија за 10%, почев од 1. маја 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2022. године.</w:t>
      </w:r>
    </w:p>
    <w:p w14:paraId="27219154" w14:textId="77777777" w:rsidR="00256DF0" w:rsidRPr="002B34F1" w:rsidRDefault="0026624D" w:rsidP="007961F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Због новонастале ситуације на </w:t>
      </w:r>
      <w:proofErr w:type="spellStart"/>
      <w:r w:rsidRPr="002B34F1">
        <w:rPr>
          <w:rFonts w:ascii="Times New Roman" w:hAnsi="Times New Roman" w:cs="Times New Roman"/>
          <w:sz w:val="24"/>
          <w:szCs w:val="24"/>
          <w:lang w:val="sr-Cyrl-BA"/>
        </w:rPr>
        <w:t>расходовној</w:t>
      </w:r>
      <w:proofErr w:type="spellEnd"/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страни имали смо значајно већа издвајања</w:t>
      </w:r>
      <w:r w:rsidRPr="002B34F1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у</w:t>
      </w:r>
      <w:r w:rsidRPr="002B34F1">
        <w:rPr>
          <w:rFonts w:ascii="Times New Roman" w:eastAsia="Calibri" w:hAnsi="Times New Roman" w:cs="Times New Roman"/>
          <w:b/>
          <w:color w:val="FF0000"/>
          <w:sz w:val="24"/>
          <w:szCs w:val="24"/>
          <w:lang w:val="sr-Cyrl-BA"/>
        </w:rPr>
        <w:t xml:space="preserve"> </w:t>
      </w:r>
      <w:r w:rsidRPr="002B34F1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оквиру </w:t>
      </w:r>
      <w:r w:rsidRPr="002B34F1">
        <w:rPr>
          <w:rFonts w:ascii="Times New Roman" w:eastAsia="MS Mincho" w:hAnsi="Times New Roman" w:cs="Times New Roman"/>
          <w:b/>
          <w:sz w:val="24"/>
          <w:szCs w:val="24"/>
          <w:lang w:val="sr-Cyrl-BA"/>
        </w:rPr>
        <w:t xml:space="preserve">дознака на име социјалне заштите које се исплаћују из буџета </w:t>
      </w:r>
      <w:r w:rsidRPr="002B34F1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у 2022. години. Извршење је на овој позиције у 2022. години износило 384,2 милиона КМ и веће је за 127,1 милион КМ, односно 49% у односу на 2021. годину. </w:t>
      </w:r>
      <w:r w:rsidR="002C1518"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>С циљем</w:t>
      </w:r>
      <w:r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ублажавања посљедица инфлације,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у</w:t>
      </w:r>
      <w:r w:rsidRPr="002B34F1">
        <w:rPr>
          <w:rFonts w:ascii="Times New Roman" w:eastAsia="Calibri" w:hAnsi="Times New Roman" w:cs="Times New Roman"/>
          <w:b/>
          <w:color w:val="FF0000"/>
          <w:sz w:val="24"/>
          <w:szCs w:val="24"/>
          <w:lang w:val="sr-Cyrl-BA"/>
        </w:rPr>
        <w:t xml:space="preserve"> </w:t>
      </w:r>
      <w:r w:rsidRPr="002B34F1">
        <w:rPr>
          <w:rFonts w:ascii="Times New Roman" w:eastAsia="MS Mincho" w:hAnsi="Times New Roman" w:cs="Times New Roman"/>
          <w:sz w:val="24"/>
          <w:szCs w:val="24"/>
          <w:lang w:val="sr-Cyrl-BA"/>
        </w:rPr>
        <w:t>оквиру дознака на име социјалне заштите исплаћена је:</w:t>
      </w:r>
    </w:p>
    <w:p w14:paraId="4DD10D8B" w14:textId="77777777" w:rsidR="0026624D" w:rsidRPr="002B34F1" w:rsidRDefault="0026624D" w:rsidP="007961F0">
      <w:pPr>
        <w:numPr>
          <w:ilvl w:val="0"/>
          <w:numId w:val="33"/>
        </w:numPr>
        <w:spacing w:after="0" w:line="240" w:lineRule="auto"/>
        <w:ind w:left="567" w:hanging="159"/>
        <w:jc w:val="both"/>
        <w:rPr>
          <w:rFonts w:ascii="Times New Roman" w:eastAsia="MS Mincho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MS Mincho" w:hAnsi="Times New Roman" w:cs="Times New Roman"/>
          <w:sz w:val="24"/>
          <w:szCs w:val="24"/>
          <w:lang w:val="sr-Cyrl-BA"/>
        </w:rPr>
        <w:t>једнократна помоћ пензионерима Републике Српске (у двије транше од по 100 КМ појединачно), у ук</w:t>
      </w:r>
      <w:r w:rsidR="007D37E6" w:rsidRPr="002B34F1">
        <w:rPr>
          <w:rFonts w:ascii="Times New Roman" w:eastAsia="MS Mincho" w:hAnsi="Times New Roman" w:cs="Times New Roman"/>
          <w:sz w:val="24"/>
          <w:szCs w:val="24"/>
          <w:lang w:val="sr-Cyrl-BA"/>
        </w:rPr>
        <w:t>упном износу од 36,1 милион КМ, а и</w:t>
      </w:r>
      <w:r w:rsidRPr="002B34F1">
        <w:rPr>
          <w:rFonts w:ascii="Times New Roman" w:eastAsia="MS Mincho" w:hAnsi="Times New Roman" w:cs="Times New Roman"/>
          <w:sz w:val="24"/>
          <w:szCs w:val="24"/>
          <w:lang w:val="sr-Cyrl-BA"/>
        </w:rPr>
        <w:t>сплате су вршене у складу са од</w:t>
      </w:r>
      <w:r w:rsidR="00D626AC" w:rsidRPr="002B34F1">
        <w:rPr>
          <w:rFonts w:ascii="Times New Roman" w:eastAsia="MS Mincho" w:hAnsi="Times New Roman" w:cs="Times New Roman"/>
          <w:sz w:val="24"/>
          <w:szCs w:val="24"/>
          <w:lang w:val="sr-Cyrl-BA"/>
        </w:rPr>
        <w:t>лукама Владе Републике Српске („</w:t>
      </w:r>
      <w:r w:rsidRPr="002B34F1">
        <w:rPr>
          <w:rFonts w:ascii="Times New Roman" w:eastAsia="MS Mincho" w:hAnsi="Times New Roman" w:cs="Times New Roman"/>
          <w:sz w:val="24"/>
          <w:szCs w:val="24"/>
          <w:lang w:val="sr-Cyrl-BA"/>
        </w:rPr>
        <w:t>Сл</w:t>
      </w:r>
      <w:r w:rsidR="00D626AC" w:rsidRPr="002B34F1">
        <w:rPr>
          <w:rFonts w:ascii="Times New Roman" w:eastAsia="MS Mincho" w:hAnsi="Times New Roman" w:cs="Times New Roman"/>
          <w:sz w:val="24"/>
          <w:szCs w:val="24"/>
          <w:lang w:val="sr-Cyrl-BA"/>
        </w:rPr>
        <w:t>ужбени гласник Републике Српске</w:t>
      </w:r>
      <w:r w:rsidR="007D37E6" w:rsidRPr="002B34F1">
        <w:rPr>
          <w:rFonts w:ascii="Times New Roman" w:eastAsia="MS Mincho" w:hAnsi="Times New Roman" w:cs="Times New Roman"/>
          <w:sz w:val="24"/>
          <w:szCs w:val="24"/>
          <w:lang w:val="sr-Cyrl-BA"/>
        </w:rPr>
        <w:t>“</w:t>
      </w:r>
      <w:r w:rsidRPr="002B34F1">
        <w:rPr>
          <w:rFonts w:ascii="Times New Roman" w:eastAsia="MS Mincho" w:hAnsi="Times New Roman" w:cs="Times New Roman"/>
          <w:sz w:val="24"/>
          <w:szCs w:val="24"/>
          <w:lang w:val="sr-Cyrl-BA"/>
        </w:rPr>
        <w:t>, бр. 62/22, 86/22 и 92/22);</w:t>
      </w:r>
    </w:p>
    <w:p w14:paraId="68017904" w14:textId="77777777" w:rsidR="007E4202" w:rsidRPr="002B34F1" w:rsidRDefault="0026624D" w:rsidP="007961F0">
      <w:pPr>
        <w:numPr>
          <w:ilvl w:val="0"/>
          <w:numId w:val="33"/>
        </w:numPr>
        <w:spacing w:after="0" w:line="240" w:lineRule="auto"/>
        <w:ind w:left="567" w:hanging="159"/>
        <w:jc w:val="both"/>
        <w:rPr>
          <w:rFonts w:ascii="Times New Roman" w:eastAsia="MS Mincho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MS Mincho" w:hAnsi="Times New Roman" w:cs="Times New Roman"/>
          <w:sz w:val="24"/>
          <w:szCs w:val="24"/>
          <w:lang w:val="sr-Cyrl-BA"/>
        </w:rPr>
        <w:t>једнократна помоћ (од по 100 КМ појединачно) за борачке категорије, у износу од 43,1 милион КМ</w:t>
      </w:r>
      <w:r w:rsidR="007D37E6" w:rsidRPr="002B34F1">
        <w:rPr>
          <w:rFonts w:ascii="Times New Roman" w:eastAsia="MS Mincho" w:hAnsi="Times New Roman" w:cs="Times New Roman"/>
          <w:sz w:val="24"/>
          <w:szCs w:val="24"/>
          <w:lang w:val="sr-Cyrl-BA"/>
        </w:rPr>
        <w:t>, а и</w:t>
      </w:r>
      <w:r w:rsidRPr="002B34F1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сплате су вршене у складу са одлукама Владе Републике Српске </w:t>
      </w:r>
      <w:r w:rsidR="00D626AC" w:rsidRPr="002B34F1">
        <w:rPr>
          <w:rFonts w:ascii="Times New Roman" w:eastAsia="MS Mincho" w:hAnsi="Times New Roman" w:cs="Times New Roman"/>
          <w:sz w:val="24"/>
          <w:szCs w:val="24"/>
          <w:lang w:val="sr-Cyrl-BA"/>
        </w:rPr>
        <w:t>(„</w:t>
      </w:r>
      <w:r w:rsidRPr="002B34F1">
        <w:rPr>
          <w:rFonts w:ascii="Times New Roman" w:eastAsia="MS Mincho" w:hAnsi="Times New Roman" w:cs="Times New Roman"/>
          <w:sz w:val="24"/>
          <w:szCs w:val="24"/>
          <w:lang w:val="sr-Cyrl-BA"/>
        </w:rPr>
        <w:t>Службени гласник Републике Српске</w:t>
      </w:r>
      <w:r w:rsidR="00D626AC" w:rsidRPr="002B34F1">
        <w:rPr>
          <w:rFonts w:ascii="Times New Roman" w:eastAsia="MS Mincho" w:hAnsi="Times New Roman" w:cs="Times New Roman"/>
          <w:sz w:val="24"/>
          <w:szCs w:val="24"/>
          <w:lang w:val="sr-Cyrl-BA"/>
        </w:rPr>
        <w:t>“</w:t>
      </w:r>
      <w:r w:rsidRPr="002B34F1">
        <w:rPr>
          <w:rFonts w:ascii="Times New Roman" w:eastAsia="MS Mincho" w:hAnsi="Times New Roman" w:cs="Times New Roman"/>
          <w:sz w:val="24"/>
          <w:szCs w:val="24"/>
          <w:lang w:val="sr-Cyrl-BA"/>
        </w:rPr>
        <w:t>, бр</w:t>
      </w:r>
      <w:r w:rsidR="007D37E6" w:rsidRPr="002B34F1">
        <w:rPr>
          <w:rFonts w:ascii="Times New Roman" w:eastAsia="MS Mincho" w:hAnsi="Times New Roman" w:cs="Times New Roman"/>
          <w:sz w:val="24"/>
          <w:szCs w:val="24"/>
          <w:lang w:val="sr-Cyrl-BA"/>
        </w:rPr>
        <w:t>. 62/22, 86/22, 92/22 и 132/22);</w:t>
      </w:r>
    </w:p>
    <w:p w14:paraId="1B8C8165" w14:textId="77777777" w:rsidR="0026624D" w:rsidRPr="002B34F1" w:rsidRDefault="0026624D" w:rsidP="007961F0">
      <w:pPr>
        <w:numPr>
          <w:ilvl w:val="0"/>
          <w:numId w:val="33"/>
        </w:numPr>
        <w:spacing w:after="0" w:line="240" w:lineRule="auto"/>
        <w:ind w:left="567" w:hanging="159"/>
        <w:jc w:val="both"/>
        <w:rPr>
          <w:rFonts w:ascii="Times New Roman" w:eastAsia="MS Mincho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једнократна новчана помоћ младим у Републици Српској </w:t>
      </w:r>
      <w:r w:rsidR="00826CFE" w:rsidRPr="002B34F1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(у двије транше од по 100 КМ појединачно) </w:t>
      </w:r>
      <w:r w:rsidRPr="002B34F1">
        <w:rPr>
          <w:rFonts w:ascii="Times New Roman" w:eastAsia="MS Mincho" w:hAnsi="Times New Roman" w:cs="Times New Roman"/>
          <w:sz w:val="24"/>
          <w:szCs w:val="24"/>
          <w:lang w:val="sr-Cyrl-BA"/>
        </w:rPr>
        <w:t>ради ублажавања посљедица инфлације, у укупном износу од 25,9 милиона KM. Исплате су вршене у складу са одлукама Владе Републике Српске (</w:t>
      </w:r>
      <w:r w:rsidR="00475145" w:rsidRPr="002B34F1">
        <w:rPr>
          <w:rFonts w:ascii="Times New Roman" w:eastAsia="MS Mincho" w:hAnsi="Times New Roman" w:cs="Times New Roman"/>
          <w:sz w:val="24"/>
          <w:szCs w:val="24"/>
          <w:lang w:val="sr-Cyrl-BA"/>
        </w:rPr>
        <w:t>„</w:t>
      </w:r>
      <w:r w:rsidRPr="002B34F1">
        <w:rPr>
          <w:rFonts w:ascii="Times New Roman" w:eastAsia="MS Mincho" w:hAnsi="Times New Roman" w:cs="Times New Roman"/>
          <w:sz w:val="24"/>
          <w:szCs w:val="24"/>
          <w:lang w:val="sr-Cyrl-BA"/>
        </w:rPr>
        <w:t>Службени гласник Републике Српске</w:t>
      </w:r>
      <w:r w:rsidR="00475145" w:rsidRPr="002B34F1">
        <w:rPr>
          <w:rFonts w:ascii="Times New Roman" w:eastAsia="MS Mincho" w:hAnsi="Times New Roman" w:cs="Times New Roman"/>
          <w:sz w:val="24"/>
          <w:szCs w:val="24"/>
          <w:lang w:val="sr-Cyrl-BA"/>
        </w:rPr>
        <w:t>“</w:t>
      </w:r>
      <w:r w:rsidRPr="002B34F1">
        <w:rPr>
          <w:rFonts w:ascii="Times New Roman" w:eastAsia="MS Mincho" w:hAnsi="Times New Roman" w:cs="Times New Roman"/>
          <w:sz w:val="24"/>
          <w:szCs w:val="24"/>
          <w:lang w:val="sr-Cyrl-BA"/>
        </w:rPr>
        <w:t>, бр. 62/22 и 84/22).</w:t>
      </w:r>
    </w:p>
    <w:p w14:paraId="784CCB97" w14:textId="77777777" w:rsidR="0026624D" w:rsidRPr="002B34F1" w:rsidRDefault="0026624D" w:rsidP="007961F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</w:p>
    <w:p w14:paraId="352B6022" w14:textId="77777777" w:rsidR="0026624D" w:rsidRPr="002B34F1" w:rsidRDefault="0026624D" w:rsidP="007961F0">
      <w:pPr>
        <w:tabs>
          <w:tab w:val="center" w:pos="4680"/>
          <w:tab w:val="right" w:pos="9360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>Другим ребалансом у 2022. години</w:t>
      </w:r>
      <w:r w:rsidR="00534C5A"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у</w:t>
      </w:r>
      <w:r w:rsidRPr="002B34F1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 w:rsidRPr="002B34F1">
        <w:rPr>
          <w:rFonts w:ascii="Times New Roman" w:eastAsia="MS Mincho" w:hAnsi="Times New Roman" w:cs="Times New Roman"/>
          <w:sz w:val="24"/>
          <w:szCs w:val="24"/>
          <w:lang w:val="sr-Cyrl-BA"/>
        </w:rPr>
        <w:t>оквиру дознака на име социјалне заштите</w:t>
      </w:r>
      <w:r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обезб</w:t>
      </w:r>
      <w:r w:rsidR="007D37E6"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>и</w:t>
      </w:r>
      <w:r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>јеђена су и средства за пружање финансијске помоћи незапосленом родитељу четворо и више дјеце у Републици Српској и за те намјене исплаћено је 11,5 милиона КМ, те средства на име новчане помоћи незапосленој дјец</w:t>
      </w:r>
      <w:r w:rsidR="007D37E6"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>и погинулих бораца одбрамбено-</w:t>
      </w:r>
      <w:r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>отаџбинског рата, у износу од 3,8 милиона КМ.</w:t>
      </w:r>
    </w:p>
    <w:p w14:paraId="5C13D0FE" w14:textId="77777777" w:rsidR="004D3673" w:rsidRPr="002B34F1" w:rsidRDefault="00B9160D" w:rsidP="007961F0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BA"/>
        </w:rPr>
      </w:pP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Биљежимо и раст расхода по основу </w:t>
      </w:r>
      <w:r w:rsidRPr="002B34F1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грантова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у износу од </w:t>
      </w:r>
      <w:r w:rsidR="00144EB5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62,</w:t>
      </w:r>
      <w:r w:rsidR="00172BF8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9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милиона КМ, односно </w:t>
      </w:r>
      <w:r w:rsidR="00C54C4B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за </w:t>
      </w:r>
      <w:r w:rsidR="00172BF8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18% су већ</w:t>
      </w:r>
      <w:r w:rsidR="00A235CE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и</w:t>
      </w:r>
      <w:r w:rsidR="00172BF8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у односу на 2021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. годину.</w:t>
      </w:r>
      <w:r w:rsidR="00766301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У </w:t>
      </w:r>
      <w:r w:rsidR="00062891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оквиру грантова </w:t>
      </w:r>
      <w:r w:rsidR="00A65A88" w:rsidRPr="002B34F1">
        <w:rPr>
          <w:rFonts w:ascii="Times New Roman" w:hAnsi="Times New Roman" w:cs="Times New Roman"/>
          <w:sz w:val="24"/>
          <w:szCs w:val="24"/>
          <w:lang w:val="sr-Cyrl-BA"/>
        </w:rPr>
        <w:t>најзначајније</w:t>
      </w:r>
      <w:r w:rsidR="00766301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повећање</w:t>
      </w:r>
      <w:r w:rsidR="008D4AFA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у износу од 94,9 милиона КМ </w:t>
      </w:r>
      <w:r w:rsidR="00766301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="008D4AFA" w:rsidRPr="002B34F1">
        <w:rPr>
          <w:rFonts w:ascii="Times New Roman" w:hAnsi="Times New Roman" w:cs="Times New Roman"/>
          <w:sz w:val="24"/>
          <w:szCs w:val="24"/>
          <w:lang w:val="sr-Cyrl-BA"/>
        </w:rPr>
        <w:t>на коду Јавних инвестиција</w:t>
      </w:r>
      <w:r w:rsidR="00534C5A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D4AFA" w:rsidRPr="002B34F1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7D37E6" w:rsidRPr="002B34F1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801C3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д наведеног износа </w:t>
      </w:r>
      <w:r w:rsidR="008D4AFA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80,1 милион КМ </w:t>
      </w:r>
      <w:r w:rsidR="00801C32" w:rsidRPr="002B34F1">
        <w:rPr>
          <w:rFonts w:ascii="Times New Roman" w:hAnsi="Times New Roman" w:cs="Times New Roman"/>
          <w:sz w:val="24"/>
          <w:szCs w:val="24"/>
          <w:lang w:val="sr-Cyrl-BA"/>
        </w:rPr>
        <w:t>односи се на</w:t>
      </w:r>
      <w:r w:rsidR="00534C5A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E1727" w:rsidRPr="002B34F1">
        <w:rPr>
          <w:rFonts w:ascii="Times New Roman" w:hAnsi="Times New Roman" w:cs="Times New Roman"/>
          <w:sz w:val="24"/>
          <w:szCs w:val="24"/>
          <w:lang w:val="sr-Cyrl-BA"/>
        </w:rPr>
        <w:t>пројек</w:t>
      </w:r>
      <w:r w:rsidR="00801C32" w:rsidRPr="002B34F1">
        <w:rPr>
          <w:rFonts w:ascii="Times New Roman" w:hAnsi="Times New Roman" w:cs="Times New Roman"/>
          <w:sz w:val="24"/>
          <w:szCs w:val="24"/>
          <w:lang w:val="sr-Cyrl-BA"/>
        </w:rPr>
        <w:t>те</w:t>
      </w:r>
      <w:r w:rsidR="00766301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који се финансирају из</w:t>
      </w:r>
      <w:r w:rsidR="00766301"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766301" w:rsidRPr="002B34F1">
        <w:rPr>
          <w:rFonts w:ascii="Times New Roman" w:hAnsi="Times New Roman" w:cs="Times New Roman"/>
          <w:sz w:val="24"/>
          <w:szCs w:val="24"/>
          <w:lang w:val="sr-Cyrl-BA"/>
        </w:rPr>
        <w:t>Програма јавних улагања Републике Српске</w:t>
      </w:r>
      <w:r w:rsidR="00ED61E5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за финансирање из </w:t>
      </w:r>
      <w:r w:rsidR="00003608" w:rsidRPr="002B34F1">
        <w:rPr>
          <w:rFonts w:ascii="Times New Roman" w:hAnsi="Times New Roman" w:cs="Times New Roman"/>
          <w:sz w:val="24"/>
          <w:szCs w:val="24"/>
          <w:lang w:val="sr-Cyrl-BA"/>
        </w:rPr>
        <w:t>б</w:t>
      </w:r>
      <w:r w:rsidR="00ED61E5" w:rsidRPr="002B34F1">
        <w:rPr>
          <w:rFonts w:ascii="Times New Roman" w:hAnsi="Times New Roman" w:cs="Times New Roman"/>
          <w:sz w:val="24"/>
          <w:szCs w:val="24"/>
          <w:lang w:val="sr-Cyrl-BA"/>
        </w:rPr>
        <w:t>уџета</w:t>
      </w:r>
      <w:r w:rsidR="00801C32" w:rsidRPr="002B34F1">
        <w:rPr>
          <w:rFonts w:ascii="Times New Roman" w:hAnsi="Times New Roman" w:cs="Times New Roman"/>
          <w:sz w:val="24"/>
          <w:szCs w:val="24"/>
          <w:lang w:val="sr-Cyrl-BA"/>
        </w:rPr>
        <w:t>).</w:t>
      </w:r>
      <w:r w:rsidR="00B66AD3"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Значајно нижа изд</w:t>
      </w:r>
      <w:r w:rsidR="004D3673"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вајања по основу </w:t>
      </w:r>
      <w:r w:rsidR="009F40CA"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>грантова</w:t>
      </w:r>
      <w:r w:rsidR="004D3673"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у односу на 2021. годину </w:t>
      </w:r>
      <w:r w:rsidR="00F01C8E"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била </w:t>
      </w:r>
      <w:r w:rsidR="004D3673"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>су из Комп</w:t>
      </w:r>
      <w:r w:rsidR="006A6A47"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>ензационог фонда за 42,1 милион</w:t>
      </w:r>
      <w:r w:rsidR="004D3673"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КМ</w:t>
      </w:r>
      <w:r w:rsidR="00A65A88"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>.</w:t>
      </w:r>
    </w:p>
    <w:p w14:paraId="7F45758A" w14:textId="77777777" w:rsidR="00BC0425" w:rsidRPr="002B34F1" w:rsidRDefault="00A440C3" w:rsidP="00796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Трансфери између </w:t>
      </w:r>
      <w:r w:rsidR="00963153"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различитих </w:t>
      </w:r>
      <w:r w:rsidR="007C29A1"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јединица </w:t>
      </w:r>
      <w:r w:rsidR="00963153"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t>власти</w:t>
      </w:r>
      <w:r w:rsidR="00963153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већи су за 118,4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милиона КМ</w:t>
      </w:r>
      <w:r w:rsidR="00F60557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, односно </w:t>
      </w:r>
      <w:r w:rsidR="00327EF3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за </w:t>
      </w:r>
      <w:r w:rsidR="00F60557" w:rsidRPr="002B34F1">
        <w:rPr>
          <w:rFonts w:ascii="Times New Roman" w:hAnsi="Times New Roman" w:cs="Times New Roman"/>
          <w:sz w:val="24"/>
          <w:szCs w:val="24"/>
          <w:lang w:val="sr-Cyrl-BA"/>
        </w:rPr>
        <w:t>43%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у односу на 2021. годину</w:t>
      </w:r>
      <w:r w:rsidR="00612F1E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201FA" w:rsidRPr="002B34F1">
        <w:rPr>
          <w:rFonts w:ascii="Times New Roman" w:hAnsi="Times New Roman" w:cs="Times New Roman"/>
          <w:sz w:val="24"/>
          <w:szCs w:val="24"/>
          <w:lang w:val="sr-Cyrl-BA"/>
        </w:rPr>
        <w:t>Најзначајније повећање</w:t>
      </w:r>
      <w:r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у оквиру трансфера између различитих јединица власти</w:t>
      </w:r>
      <w:r w:rsidR="000201FA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је на трансферима фондовима обавезног социјалног осигурања </w:t>
      </w:r>
      <w:r w:rsidR="00DB3DBE" w:rsidRPr="002B34F1">
        <w:rPr>
          <w:rFonts w:ascii="Times New Roman" w:hAnsi="Times New Roman" w:cs="Times New Roman"/>
          <w:sz w:val="24"/>
          <w:szCs w:val="24"/>
          <w:lang w:val="sr-Cyrl-BA"/>
        </w:rPr>
        <w:t>и јединицама локалних самоуправа</w:t>
      </w:r>
      <w:r w:rsidR="000201FA" w:rsidRPr="002B34F1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B3DBE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26BB2419" w14:textId="77777777" w:rsidR="00587E87" w:rsidRPr="002B34F1" w:rsidRDefault="00B9160D" w:rsidP="007961F0">
      <w:pPr>
        <w:pStyle w:val="ListParagraph"/>
        <w:numPr>
          <w:ilvl w:val="0"/>
          <w:numId w:val="38"/>
        </w:numPr>
        <w:spacing w:before="0" w:after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B34F1">
        <w:rPr>
          <w:rFonts w:ascii="Times New Roman" w:hAnsi="Times New Roman"/>
          <w:sz w:val="24"/>
          <w:szCs w:val="24"/>
          <w:lang w:val="sr-Cyrl-BA"/>
        </w:rPr>
        <w:t xml:space="preserve">Трансфери фондовима обавезног социјалног осигурања </w:t>
      </w:r>
      <w:r w:rsidR="005D4AAE" w:rsidRPr="002B34F1">
        <w:rPr>
          <w:rFonts w:ascii="Times New Roman" w:hAnsi="Times New Roman"/>
          <w:sz w:val="24"/>
          <w:szCs w:val="24"/>
          <w:lang w:val="sr-Cyrl-BA"/>
        </w:rPr>
        <w:t>већи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 с</w:t>
      </w:r>
      <w:r w:rsidR="000933E9" w:rsidRPr="002B34F1">
        <w:rPr>
          <w:rFonts w:ascii="Times New Roman" w:hAnsi="Times New Roman"/>
          <w:sz w:val="24"/>
          <w:szCs w:val="24"/>
          <w:lang w:val="sr-Cyrl-BA"/>
        </w:rPr>
        <w:t xml:space="preserve">у за </w:t>
      </w:r>
      <w:r w:rsidR="00AC69EC" w:rsidRPr="002B34F1">
        <w:rPr>
          <w:rFonts w:ascii="Times New Roman" w:hAnsi="Times New Roman"/>
          <w:sz w:val="24"/>
          <w:szCs w:val="24"/>
          <w:lang w:val="sr-Cyrl-BA"/>
        </w:rPr>
        <w:t>70,</w:t>
      </w:r>
      <w:r w:rsidR="00EE72F8" w:rsidRPr="002B34F1">
        <w:rPr>
          <w:rFonts w:ascii="Times New Roman" w:hAnsi="Times New Roman"/>
          <w:sz w:val="24"/>
          <w:szCs w:val="24"/>
          <w:lang w:val="sr-Cyrl-BA"/>
        </w:rPr>
        <w:t>1</w:t>
      </w:r>
      <w:r w:rsidR="000933E9" w:rsidRPr="002B34F1">
        <w:rPr>
          <w:rFonts w:ascii="Times New Roman" w:hAnsi="Times New Roman"/>
          <w:sz w:val="24"/>
          <w:szCs w:val="24"/>
          <w:lang w:val="sr-Cyrl-BA"/>
        </w:rPr>
        <w:t xml:space="preserve"> милион КМ, односно </w:t>
      </w:r>
      <w:r w:rsidR="00AC449D" w:rsidRPr="002B34F1">
        <w:rPr>
          <w:rFonts w:ascii="Times New Roman" w:hAnsi="Times New Roman"/>
          <w:sz w:val="24"/>
          <w:szCs w:val="24"/>
          <w:lang w:val="sr-Cyrl-BA"/>
        </w:rPr>
        <w:t xml:space="preserve">за </w:t>
      </w:r>
      <w:r w:rsidR="00EE72F8" w:rsidRPr="002B34F1">
        <w:rPr>
          <w:rFonts w:ascii="Times New Roman" w:hAnsi="Times New Roman"/>
          <w:sz w:val="24"/>
          <w:szCs w:val="24"/>
          <w:lang w:val="sr-Cyrl-BA"/>
        </w:rPr>
        <w:t>34</w:t>
      </w:r>
      <w:r w:rsidR="00AC449D" w:rsidRPr="002B34F1">
        <w:rPr>
          <w:rFonts w:ascii="Times New Roman" w:hAnsi="Times New Roman"/>
          <w:sz w:val="24"/>
          <w:szCs w:val="24"/>
          <w:lang w:val="sr-Cyrl-BA"/>
        </w:rPr>
        <w:t>% у односу на 20</w:t>
      </w:r>
      <w:r w:rsidR="00EE72F8" w:rsidRPr="002B34F1">
        <w:rPr>
          <w:rFonts w:ascii="Times New Roman" w:hAnsi="Times New Roman"/>
          <w:sz w:val="24"/>
          <w:szCs w:val="24"/>
          <w:lang w:val="sr-Cyrl-BA"/>
        </w:rPr>
        <w:t>21</w:t>
      </w:r>
      <w:r w:rsidR="00AC449D" w:rsidRPr="002B34F1">
        <w:rPr>
          <w:rFonts w:ascii="Times New Roman" w:hAnsi="Times New Roman"/>
          <w:sz w:val="24"/>
          <w:szCs w:val="24"/>
          <w:lang w:val="sr-Cyrl-BA"/>
        </w:rPr>
        <w:t>. годин</w:t>
      </w:r>
      <w:r w:rsidR="001047BB" w:rsidRPr="002B34F1">
        <w:rPr>
          <w:rFonts w:ascii="Times New Roman" w:hAnsi="Times New Roman"/>
          <w:sz w:val="24"/>
          <w:szCs w:val="24"/>
          <w:lang w:val="sr-Cyrl-BA"/>
        </w:rPr>
        <w:t>и</w:t>
      </w:r>
      <w:r w:rsidR="00AC449D" w:rsidRPr="002B34F1">
        <w:rPr>
          <w:rFonts w:ascii="Times New Roman" w:hAnsi="Times New Roman"/>
          <w:sz w:val="24"/>
          <w:szCs w:val="24"/>
          <w:lang w:val="sr-Cyrl-BA"/>
        </w:rPr>
        <w:t>. Ф</w:t>
      </w:r>
      <w:r w:rsidR="00FE32ED" w:rsidRPr="002B34F1">
        <w:rPr>
          <w:rFonts w:ascii="Times New Roman" w:hAnsi="Times New Roman"/>
          <w:sz w:val="24"/>
          <w:szCs w:val="24"/>
          <w:lang w:val="sr-Cyrl-BA"/>
        </w:rPr>
        <w:t>онду здравственог осигурања</w:t>
      </w:r>
      <w:r w:rsidR="00AC449D" w:rsidRPr="002B34F1">
        <w:rPr>
          <w:rFonts w:ascii="Times New Roman" w:hAnsi="Times New Roman"/>
          <w:sz w:val="24"/>
          <w:szCs w:val="24"/>
          <w:lang w:val="sr-Cyrl-BA"/>
        </w:rPr>
        <w:t xml:space="preserve"> Републике Српске </w:t>
      </w:r>
      <w:r w:rsidR="00FE32ED" w:rsidRPr="002B34F1">
        <w:rPr>
          <w:rFonts w:ascii="Times New Roman" w:hAnsi="Times New Roman"/>
          <w:sz w:val="24"/>
          <w:szCs w:val="24"/>
          <w:lang w:val="sr-Cyrl-BA"/>
        </w:rPr>
        <w:t xml:space="preserve">у 2022. години </w:t>
      </w:r>
      <w:r w:rsidR="001C0FCA" w:rsidRPr="002B34F1">
        <w:rPr>
          <w:rFonts w:ascii="Times New Roman" w:hAnsi="Times New Roman"/>
          <w:sz w:val="24"/>
          <w:szCs w:val="24"/>
          <w:lang w:val="sr-Cyrl-BA"/>
        </w:rPr>
        <w:t xml:space="preserve">са општег фонда (фонд 01) </w:t>
      </w:r>
      <w:r w:rsidR="00AC449D" w:rsidRPr="002B34F1">
        <w:rPr>
          <w:rFonts w:ascii="Times New Roman" w:hAnsi="Times New Roman"/>
          <w:sz w:val="24"/>
          <w:szCs w:val="24"/>
          <w:lang w:val="sr-Cyrl-BA"/>
        </w:rPr>
        <w:t xml:space="preserve">дозначено је </w:t>
      </w:r>
      <w:r w:rsidR="00AC69EC" w:rsidRPr="002B34F1">
        <w:rPr>
          <w:rFonts w:ascii="Times New Roman" w:hAnsi="Times New Roman"/>
          <w:sz w:val="24"/>
          <w:szCs w:val="24"/>
          <w:lang w:val="sr-Cyrl-BA"/>
        </w:rPr>
        <w:t>81,</w:t>
      </w:r>
      <w:r w:rsidR="00587E87" w:rsidRPr="002B34F1">
        <w:rPr>
          <w:rFonts w:ascii="Times New Roman" w:hAnsi="Times New Roman"/>
          <w:sz w:val="24"/>
          <w:szCs w:val="24"/>
          <w:lang w:val="sr-Cyrl-BA"/>
        </w:rPr>
        <w:t>2 милиона КМ више у односу на 2021</w:t>
      </w:r>
      <w:r w:rsidR="00AC449D" w:rsidRPr="002B34F1">
        <w:rPr>
          <w:rFonts w:ascii="Times New Roman" w:hAnsi="Times New Roman"/>
          <w:sz w:val="24"/>
          <w:szCs w:val="24"/>
          <w:lang w:val="sr-Cyrl-BA"/>
        </w:rPr>
        <w:t>. годину</w:t>
      </w:r>
      <w:r w:rsidR="00855CC8" w:rsidRPr="002B34F1">
        <w:rPr>
          <w:rFonts w:ascii="Times New Roman" w:hAnsi="Times New Roman"/>
          <w:sz w:val="24"/>
          <w:szCs w:val="24"/>
          <w:lang w:val="sr-Cyrl-BA"/>
        </w:rPr>
        <w:t xml:space="preserve"> (</w:t>
      </w:r>
      <w:r w:rsidR="00272899" w:rsidRPr="002B34F1">
        <w:rPr>
          <w:rFonts w:ascii="Times New Roman" w:hAnsi="Times New Roman"/>
          <w:sz w:val="24"/>
          <w:szCs w:val="24"/>
          <w:lang w:val="sr-Cyrl-BA"/>
        </w:rPr>
        <w:t xml:space="preserve">више је дозначено </w:t>
      </w:r>
      <w:r w:rsidR="00DC0F88" w:rsidRPr="002B34F1">
        <w:rPr>
          <w:rFonts w:ascii="Times New Roman" w:hAnsi="Times New Roman"/>
          <w:sz w:val="24"/>
          <w:szCs w:val="24"/>
          <w:lang w:val="sr-Cyrl-BA"/>
        </w:rPr>
        <w:t xml:space="preserve">25,6 милиона КМ </w:t>
      </w:r>
      <w:r w:rsidR="00204A04" w:rsidRPr="002B34F1">
        <w:rPr>
          <w:rFonts w:ascii="Times New Roman" w:hAnsi="Times New Roman"/>
          <w:sz w:val="24"/>
          <w:szCs w:val="24"/>
          <w:lang w:val="sr-Cyrl-BA"/>
        </w:rPr>
        <w:t xml:space="preserve">за обавезе настале </w:t>
      </w:r>
      <w:r w:rsidR="00DC0F88" w:rsidRPr="002B34F1">
        <w:rPr>
          <w:rFonts w:ascii="Times New Roman" w:hAnsi="Times New Roman"/>
          <w:sz w:val="24"/>
          <w:szCs w:val="24"/>
          <w:lang w:val="sr-Cyrl-BA"/>
        </w:rPr>
        <w:t xml:space="preserve">по основу права на здравствену заштиту лица из члана </w:t>
      </w:r>
      <w:r w:rsidR="00C43CC5" w:rsidRPr="002B34F1">
        <w:rPr>
          <w:rFonts w:ascii="Times New Roman" w:hAnsi="Times New Roman"/>
          <w:sz w:val="24"/>
          <w:szCs w:val="24"/>
          <w:lang w:val="sr-Cyrl-BA"/>
        </w:rPr>
        <w:t>10а.</w:t>
      </w:r>
      <w:r w:rsidR="00DC0F88" w:rsidRPr="002B34F1">
        <w:rPr>
          <w:rFonts w:ascii="Times New Roman" w:hAnsi="Times New Roman"/>
          <w:sz w:val="24"/>
          <w:szCs w:val="24"/>
          <w:lang w:val="sr-Cyrl-BA"/>
        </w:rPr>
        <w:t xml:space="preserve"> Закона о здравственом осигурању </w:t>
      </w:r>
      <w:r w:rsidR="00C43CC5" w:rsidRPr="002B34F1">
        <w:rPr>
          <w:rFonts w:ascii="Times New Roman" w:hAnsi="Times New Roman"/>
          <w:sz w:val="24"/>
          <w:szCs w:val="24"/>
          <w:lang w:val="sr-Cyrl-BA"/>
        </w:rPr>
        <w:t>–</w:t>
      </w:r>
      <w:r w:rsidR="00DC0F88" w:rsidRPr="002B34F1">
        <w:rPr>
          <w:rFonts w:ascii="Times New Roman" w:hAnsi="Times New Roman"/>
          <w:sz w:val="24"/>
          <w:szCs w:val="24"/>
          <w:lang w:val="sr-Cyrl-BA"/>
        </w:rPr>
        <w:t xml:space="preserve"> здравствено осигурање неосигураних лица и</w:t>
      </w:r>
      <w:r w:rsidR="007D7447" w:rsidRPr="002B34F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C0F88" w:rsidRPr="002B34F1">
        <w:rPr>
          <w:rFonts w:ascii="Times New Roman" w:hAnsi="Times New Roman"/>
          <w:sz w:val="24"/>
          <w:szCs w:val="24"/>
          <w:lang w:val="sr-Cyrl-BA"/>
        </w:rPr>
        <w:lastRenderedPageBreak/>
        <w:t>55,6 милиона КМ за</w:t>
      </w:r>
      <w:r w:rsidR="00272899" w:rsidRPr="002B34F1">
        <w:rPr>
          <w:rFonts w:ascii="Times New Roman" w:hAnsi="Times New Roman"/>
          <w:sz w:val="24"/>
          <w:szCs w:val="24"/>
          <w:lang w:val="sr-Cyrl-BA"/>
        </w:rPr>
        <w:t xml:space="preserve"> набавку</w:t>
      </w:r>
      <w:r w:rsidR="00DC0F88" w:rsidRPr="002B34F1">
        <w:rPr>
          <w:rFonts w:ascii="Times New Roman" w:hAnsi="Times New Roman"/>
          <w:bCs/>
          <w:sz w:val="24"/>
          <w:szCs w:val="24"/>
          <w:lang w:val="sr-Cyrl-BA"/>
        </w:rPr>
        <w:t xml:space="preserve"> лијекова из Посебног програма за лијечење ријетких болести</w:t>
      </w:r>
      <w:r w:rsidR="007D7447" w:rsidRPr="002B34F1">
        <w:rPr>
          <w:rFonts w:ascii="Times New Roman" w:hAnsi="Times New Roman"/>
          <w:sz w:val="24"/>
          <w:szCs w:val="24"/>
          <w:lang w:val="sr-Cyrl-BA"/>
        </w:rPr>
        <w:t>)</w:t>
      </w:r>
      <w:r w:rsidR="00A86974" w:rsidRPr="002B34F1">
        <w:rPr>
          <w:rFonts w:ascii="Times New Roman" w:hAnsi="Times New Roman"/>
          <w:sz w:val="24"/>
          <w:szCs w:val="24"/>
          <w:lang w:val="sr-Cyrl-BA"/>
        </w:rPr>
        <w:t>.</w:t>
      </w:r>
      <w:r w:rsidR="00DC0F88" w:rsidRPr="002B34F1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74649B63" w14:textId="77777777" w:rsidR="00B87CD9" w:rsidRPr="002B34F1" w:rsidRDefault="00B66AD3" w:rsidP="007961F0">
      <w:pPr>
        <w:pStyle w:val="ListParagraph"/>
        <w:numPr>
          <w:ilvl w:val="0"/>
          <w:numId w:val="38"/>
        </w:numPr>
        <w:spacing w:before="0" w:after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B34F1">
        <w:rPr>
          <w:rFonts w:ascii="Times New Roman" w:hAnsi="Times New Roman"/>
          <w:sz w:val="24"/>
          <w:szCs w:val="24"/>
          <w:lang w:val="sr-Cyrl-BA"/>
        </w:rPr>
        <w:t>Трансфери</w:t>
      </w:r>
      <w:r w:rsidR="00B87CD9" w:rsidRPr="002B34F1">
        <w:rPr>
          <w:rFonts w:ascii="Times New Roman" w:hAnsi="Times New Roman"/>
          <w:sz w:val="24"/>
          <w:szCs w:val="24"/>
          <w:lang w:val="sr-Cyrl-BA"/>
        </w:rPr>
        <w:t xml:space="preserve"> јединицама локалне самоуправе већи су за 48,3 милиона КМ, односно за 66% у односу на 2021. годину. Најзначајније повећање од 37,2 милиона КМ евидентирано је на коду Јавних инвестиција.</w:t>
      </w:r>
    </w:p>
    <w:p w14:paraId="52AA09AB" w14:textId="77777777" w:rsidR="000C1881" w:rsidRPr="002B34F1" w:rsidRDefault="0026546A" w:rsidP="007961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Поред наведеног, р</w:t>
      </w:r>
      <w:r w:rsidR="000C1881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асходи по основу </w:t>
      </w:r>
      <w:r w:rsidR="000C1881" w:rsidRPr="002B34F1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субвенција</w:t>
      </w:r>
      <w:r w:rsidR="000C1881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су </w:t>
      </w:r>
      <w:r w:rsidR="001F5BC2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већи </w:t>
      </w:r>
      <w:r w:rsidR="000C1881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за 19,9 милиона КМ, односно за 12% у односу на 2021. годину. </w:t>
      </w:r>
      <w:r w:rsidR="003C5807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Најзначајније</w:t>
      </w:r>
      <w:r w:rsidR="001273A5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AE0BFE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п</w:t>
      </w:r>
      <w:r w:rsidR="003C5807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овећање</w:t>
      </w:r>
      <w:r w:rsidR="00AE0BFE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1273A5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у 2022. години у односу на 2021. годину је на:</w:t>
      </w:r>
    </w:p>
    <w:p w14:paraId="6041C3C1" w14:textId="77777777" w:rsidR="001273A5" w:rsidRPr="002B34F1" w:rsidRDefault="001273A5" w:rsidP="007961F0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Министарству привреде и</w:t>
      </w:r>
      <w:r w:rsidR="00C43CC5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предузетништва у износу од 10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милиона КМ, а односи се на субвенције</w:t>
      </w:r>
      <w:r w:rsidR="00534C5A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дате привредним субјектима који су остварили право на име подстицаја за повећање плата радника, у складу са Законом о подстицајима </w:t>
      </w:r>
      <w:r w:rsidR="00492212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у привреди Републике Српске („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Службени гласник Републике Српске</w:t>
      </w:r>
      <w:r w:rsidR="00492212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“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, бр</w:t>
      </w:r>
      <w:r w:rsidR="00C43CC5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52/19, 78/20, 37/22 и 56/22) и Правилником о поступку додјеле подстиц</w:t>
      </w:r>
      <w:r w:rsidR="00492212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аја за повећање плате радника („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Службени гласник Републике Српске</w:t>
      </w:r>
      <w:r w:rsidR="00492212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“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, број 106/19);</w:t>
      </w:r>
    </w:p>
    <w:p w14:paraId="55FFACC3" w14:textId="77777777" w:rsidR="000C1881" w:rsidRPr="002B34F1" w:rsidRDefault="001273A5" w:rsidP="007961F0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Ко</w:t>
      </w:r>
      <w:r w:rsidR="009D6657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мпензационом фонду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у износу од 9,8 милиона КМ.</w:t>
      </w:r>
    </w:p>
    <w:p w14:paraId="4C939306" w14:textId="77777777" w:rsidR="00736301" w:rsidRPr="002B34F1" w:rsidRDefault="00736301" w:rsidP="007961F0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У 2022. години расходи и издаци за нефинансијску имовину који се односе на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пројекте који се финансирају из </w:t>
      </w:r>
      <w:r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t>Програма јавних улагања Републике Српске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t>за финансирање из Буџета</w:t>
      </w:r>
      <w:r w:rsidRPr="002B34F1">
        <w:rPr>
          <w:rFonts w:ascii="Times New Roman" w:hAnsi="Times New Roman" w:cs="Times New Roman"/>
          <w:iCs/>
          <w:sz w:val="24"/>
          <w:szCs w:val="24"/>
          <w:lang w:val="sr-Cyrl-BA"/>
        </w:rPr>
        <w:t xml:space="preserve"> износили су 228,2 милиона КМ, што је за 118,9 милиона КМ више у односу на извршење у 2021. години.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Очекивало се да ће реализација инвестиција и улагање у путну инфраструктуру позитивно утицати на раст.</w:t>
      </w:r>
    </w:p>
    <w:p w14:paraId="547C3362" w14:textId="77777777" w:rsidR="00736301" w:rsidRPr="002B34F1" w:rsidRDefault="00736301" w:rsidP="007961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val="sr-Cyrl-BA"/>
        </w:rPr>
      </w:pPr>
    </w:p>
    <w:p w14:paraId="3BCC0726" w14:textId="77777777" w:rsidR="00B55602" w:rsidRPr="002B34F1" w:rsidRDefault="008C2500" w:rsidP="00796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Из </w:t>
      </w:r>
      <w:r w:rsidR="000544E8" w:rsidRPr="002B34F1">
        <w:rPr>
          <w:rFonts w:ascii="Times New Roman" w:hAnsi="Times New Roman" w:cs="Times New Roman"/>
          <w:sz w:val="24"/>
          <w:szCs w:val="24"/>
          <w:lang w:val="sr-Cyrl-BA"/>
        </w:rPr>
        <w:t>Компензационог фонда (са фонда 05)</w:t>
      </w:r>
      <w:r w:rsidR="00C43CC5" w:rsidRPr="002B34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0544E8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за санирање посљедица и потешкоћа насталих усљед ширења заразне болести изазване вирусом корона и ради спречавања настанка озбиљних поремећаја на тржишту узрокованих растом стопе инфлације и недостатком</w:t>
      </w:r>
      <w:r w:rsidR="00C8298D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животних намирница, сировина </w:t>
      </w:r>
      <w:r w:rsidR="000544E8" w:rsidRPr="002B34F1">
        <w:rPr>
          <w:rFonts w:ascii="Times New Roman" w:hAnsi="Times New Roman" w:cs="Times New Roman"/>
          <w:sz w:val="24"/>
          <w:szCs w:val="24"/>
          <w:lang w:val="sr-Cyrl-BA"/>
        </w:rPr>
        <w:t>и др.</w:t>
      </w:r>
      <w:r w:rsidR="00C43CC5" w:rsidRPr="002B34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0544E8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у 2022. години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исплаћено је</w:t>
      </w:r>
      <w:r w:rsidR="000544E8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укупно 78,2 милиона КМ (од чега 1,5 милиона </w:t>
      </w:r>
      <w:r w:rsidR="00B0102E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KM </w:t>
      </w:r>
      <w:r w:rsidR="000544E8" w:rsidRPr="002B34F1">
        <w:rPr>
          <w:rFonts w:ascii="Times New Roman" w:hAnsi="Times New Roman" w:cs="Times New Roman"/>
          <w:sz w:val="24"/>
          <w:szCs w:val="24"/>
          <w:lang w:val="sr-Cyrl-BA"/>
        </w:rPr>
        <w:t>по основу закључака из 2021. године и 76,7 милиона</w:t>
      </w:r>
      <w:r w:rsidR="00B17435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KM</w:t>
      </w:r>
      <w:r w:rsidR="000544E8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по основу закључака из 2022. године).</w:t>
      </w:r>
    </w:p>
    <w:p w14:paraId="1D3B20C3" w14:textId="77777777" w:rsidR="00BC0425" w:rsidRPr="002B34F1" w:rsidRDefault="00BC0425" w:rsidP="007961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14:paraId="00649829" w14:textId="77777777" w:rsidR="00FA7EFD" w:rsidRPr="002B34F1" w:rsidRDefault="00FA7EFD" w:rsidP="007961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2E2DFCAA" w14:textId="77777777" w:rsidR="0054049B" w:rsidRPr="002B34F1" w:rsidRDefault="0054049B" w:rsidP="007961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t>Јединице локалне самоуправе</w:t>
      </w:r>
    </w:p>
    <w:p w14:paraId="3542E033" w14:textId="77777777" w:rsidR="0054049B" w:rsidRPr="002B34F1" w:rsidRDefault="0054049B" w:rsidP="007961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619FCF9B" w14:textId="77777777" w:rsidR="003D0C14" w:rsidRPr="002B34F1" w:rsidRDefault="0054049B" w:rsidP="00796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Јединице локалне </w:t>
      </w:r>
      <w:r w:rsidR="00B66AD3" w:rsidRPr="002B34F1">
        <w:rPr>
          <w:rFonts w:ascii="Times New Roman" w:hAnsi="Times New Roman" w:cs="Times New Roman"/>
          <w:sz w:val="24"/>
          <w:szCs w:val="24"/>
          <w:lang w:val="sr-Cyrl-BA"/>
        </w:rPr>
        <w:t>самоуправе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су</w:t>
      </w:r>
      <w:r w:rsidR="00534C5A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за 2022</w:t>
      </w:r>
      <w:r w:rsidR="00D10BBF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. годину (табела 4) оствариле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текући суфицит</w:t>
      </w:r>
      <w:r w:rsidR="00534C5A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(збирно) у износу од 9,5 милиона КМ.</w:t>
      </w:r>
    </w:p>
    <w:p w14:paraId="4AEC474C" w14:textId="77777777" w:rsidR="007961F0" w:rsidRPr="002B34F1" w:rsidRDefault="007961F0" w:rsidP="00796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5780E37" w14:textId="77777777" w:rsidR="0054049B" w:rsidRPr="002B34F1" w:rsidRDefault="0054049B" w:rsidP="00F004D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>Табела 4. Преглед прихода/примитака и расхода/издатака за 2022. годину</w:t>
      </w:r>
    </w:p>
    <w:tbl>
      <w:tblPr>
        <w:tblW w:w="8900" w:type="dxa"/>
        <w:tblLook w:val="04A0" w:firstRow="1" w:lastRow="0" w:firstColumn="1" w:lastColumn="0" w:noHBand="0" w:noVBand="1"/>
      </w:tblPr>
      <w:tblGrid>
        <w:gridCol w:w="7417"/>
        <w:gridCol w:w="1483"/>
      </w:tblGrid>
      <w:tr w:rsidR="0054049B" w:rsidRPr="002B34F1" w14:paraId="70DC5D75" w14:textId="77777777" w:rsidTr="009210BF">
        <w:trPr>
          <w:trHeight w:val="20"/>
        </w:trPr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49C64B7E" w14:textId="77777777" w:rsidR="0054049B" w:rsidRPr="002B34F1" w:rsidRDefault="003E05A0" w:rsidP="00C43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</w:pPr>
            <w:bookmarkStart w:id="0" w:name="RANGE!B2"/>
            <w:r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>А.</w:t>
            </w:r>
            <w:r w:rsidR="00534C5A"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 xml:space="preserve"> </w:t>
            </w:r>
            <w:r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>ПРИХОДИ</w:t>
            </w:r>
            <w:r w:rsidR="00534C5A"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 xml:space="preserve"> </w:t>
            </w:r>
            <w:r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>ЈЛС фонд 01</w:t>
            </w:r>
            <w:r w:rsidR="00C43CC5"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>–</w:t>
            </w:r>
            <w:r w:rsidR="0054049B"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>05</w:t>
            </w:r>
            <w:bookmarkEnd w:id="0"/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574AEFBF" w14:textId="77777777" w:rsidR="0054049B" w:rsidRPr="002B34F1" w:rsidRDefault="0054049B" w:rsidP="00F00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>1.006</w:t>
            </w:r>
          </w:p>
        </w:tc>
      </w:tr>
      <w:tr w:rsidR="0054049B" w:rsidRPr="002B34F1" w14:paraId="2866175F" w14:textId="77777777" w:rsidTr="009210BF">
        <w:trPr>
          <w:trHeight w:val="20"/>
        </w:trPr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40FF" w14:textId="77777777" w:rsidR="0054049B" w:rsidRPr="002B34F1" w:rsidRDefault="0054049B" w:rsidP="00C43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>Б. ПРИМИЦИ ЗА НЕФИНАНСИЈСКУ имовину ЈЛС фонд 01</w:t>
            </w:r>
            <w:r w:rsidR="00C43CC5"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>–</w:t>
            </w:r>
            <w:r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5B44" w14:textId="77777777" w:rsidR="0054049B" w:rsidRPr="002B34F1" w:rsidRDefault="0054049B" w:rsidP="00F00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>18,4</w:t>
            </w:r>
          </w:p>
        </w:tc>
      </w:tr>
      <w:tr w:rsidR="0054049B" w:rsidRPr="002B34F1" w14:paraId="160C3D70" w14:textId="77777777" w:rsidTr="009210BF">
        <w:trPr>
          <w:trHeight w:val="20"/>
        </w:trPr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6F9B5EEA" w14:textId="77777777" w:rsidR="0054049B" w:rsidRPr="002B34F1" w:rsidRDefault="0054049B" w:rsidP="00F004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  <w:t>УКУПНО А</w:t>
            </w:r>
            <w:r w:rsidR="00C43CC5" w:rsidRPr="002B34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  <w:t xml:space="preserve"> </w:t>
            </w:r>
            <w:r w:rsidRPr="002B34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  <w:t>+</w:t>
            </w:r>
            <w:r w:rsidR="00C43CC5" w:rsidRPr="002B34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  <w:t xml:space="preserve"> </w:t>
            </w:r>
            <w:r w:rsidRPr="002B34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  <w:t>Б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36953B2F" w14:textId="77777777" w:rsidR="0054049B" w:rsidRPr="002B34F1" w:rsidRDefault="0054049B" w:rsidP="00F00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  <w:t>1.024,4</w:t>
            </w:r>
          </w:p>
        </w:tc>
      </w:tr>
      <w:tr w:rsidR="0054049B" w:rsidRPr="002B34F1" w14:paraId="2A69B26B" w14:textId="77777777" w:rsidTr="009210BF">
        <w:trPr>
          <w:trHeight w:val="20"/>
        </w:trPr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DB07A" w14:textId="77777777" w:rsidR="0054049B" w:rsidRPr="002B34F1" w:rsidRDefault="0054049B" w:rsidP="00C43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>В.</w:t>
            </w:r>
            <w:r w:rsidR="00534C5A"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 xml:space="preserve"> </w:t>
            </w:r>
            <w:r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>РАСХОДИ</w:t>
            </w:r>
            <w:r w:rsidR="00534C5A"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 xml:space="preserve"> </w:t>
            </w:r>
            <w:r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>ЈЛС фонд 01</w:t>
            </w:r>
            <w:r w:rsidR="00C43CC5"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>–</w:t>
            </w:r>
            <w:r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81A67" w14:textId="77777777" w:rsidR="0054049B" w:rsidRPr="002B34F1" w:rsidRDefault="0054049B" w:rsidP="00F00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>773,9</w:t>
            </w:r>
          </w:p>
        </w:tc>
      </w:tr>
      <w:tr w:rsidR="0054049B" w:rsidRPr="002B34F1" w14:paraId="2EC27BF7" w14:textId="77777777" w:rsidTr="009210BF">
        <w:trPr>
          <w:trHeight w:val="20"/>
        </w:trPr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33EE73E9" w14:textId="77777777" w:rsidR="0054049B" w:rsidRPr="002B34F1" w:rsidRDefault="0054049B" w:rsidP="00C43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>Г. ИЗДАЦИ ЗА НЕФИНАНСИЈСКУ ИМОВИНУ ЈЛС ФОНД 01</w:t>
            </w:r>
            <w:r w:rsidR="00C43CC5"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>–</w:t>
            </w:r>
            <w:r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5DE17E98" w14:textId="77777777" w:rsidR="0054049B" w:rsidRPr="002B34F1" w:rsidRDefault="0054049B" w:rsidP="00F00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>2</w:t>
            </w:r>
            <w:r w:rsidR="00C43CC5"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>41</w:t>
            </w:r>
          </w:p>
        </w:tc>
      </w:tr>
      <w:tr w:rsidR="0054049B" w:rsidRPr="002B34F1" w14:paraId="5E055F77" w14:textId="77777777" w:rsidTr="009210BF">
        <w:trPr>
          <w:trHeight w:val="20"/>
        </w:trPr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A7809" w14:textId="77777777" w:rsidR="0054049B" w:rsidRPr="002B34F1" w:rsidRDefault="0054049B" w:rsidP="00F004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  <w:t>УКУПНО (В</w:t>
            </w:r>
            <w:r w:rsidR="00C43CC5" w:rsidRPr="002B34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  <w:t xml:space="preserve"> </w:t>
            </w:r>
            <w:r w:rsidRPr="002B34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  <w:t>+</w:t>
            </w:r>
            <w:r w:rsidR="00C43CC5" w:rsidRPr="002B34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  <w:t xml:space="preserve"> </w:t>
            </w:r>
            <w:r w:rsidRPr="002B34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  <w:t>Г)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F225" w14:textId="77777777" w:rsidR="0054049B" w:rsidRPr="002B34F1" w:rsidRDefault="00BD2B24" w:rsidP="00F00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  <w:t>1.</w:t>
            </w:r>
            <w:r w:rsidR="0054049B" w:rsidRPr="002B34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  <w:t>014,9</w:t>
            </w:r>
          </w:p>
        </w:tc>
      </w:tr>
      <w:tr w:rsidR="0054049B" w:rsidRPr="002B34F1" w14:paraId="413A1DB2" w14:textId="77777777" w:rsidTr="009210BF">
        <w:trPr>
          <w:trHeight w:val="20"/>
        </w:trPr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0F2C32F9" w14:textId="77777777" w:rsidR="0054049B" w:rsidRPr="002B34F1" w:rsidRDefault="0054049B" w:rsidP="00F00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>Д. ТЕКУЋИ ДЕФИЦИТ (ПОЈЕДИНАЧНО ЈЛС)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2DAC2CA9" w14:textId="77777777" w:rsidR="0054049B" w:rsidRPr="002B34F1" w:rsidRDefault="00C8298D" w:rsidP="00F00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>-</w:t>
            </w:r>
            <w:r w:rsidR="0054049B"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>28,6</w:t>
            </w:r>
          </w:p>
        </w:tc>
      </w:tr>
      <w:tr w:rsidR="0054049B" w:rsidRPr="002B34F1" w14:paraId="5D12AA9F" w14:textId="77777777" w:rsidTr="009210BF">
        <w:trPr>
          <w:trHeight w:val="20"/>
        </w:trPr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20862" w14:textId="77777777" w:rsidR="0054049B" w:rsidRPr="002B34F1" w:rsidRDefault="0054049B" w:rsidP="00F0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>Ђ.</w:t>
            </w:r>
            <w:r w:rsidR="00534C5A"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 xml:space="preserve"> </w:t>
            </w:r>
            <w:r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>ТЕКУЋИ СУФИЦИТ (ПОЈЕДИНАЧНО ЈЛС)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885D3" w14:textId="77777777" w:rsidR="0054049B" w:rsidRPr="002B34F1" w:rsidRDefault="0054049B" w:rsidP="00F00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>38,1</w:t>
            </w:r>
          </w:p>
        </w:tc>
      </w:tr>
      <w:tr w:rsidR="0054049B" w:rsidRPr="002B34F1" w14:paraId="00FE8787" w14:textId="77777777" w:rsidTr="009210BF">
        <w:trPr>
          <w:trHeight w:val="20"/>
        </w:trPr>
        <w:tc>
          <w:tcPr>
            <w:tcW w:w="7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30286DBB" w14:textId="77777777" w:rsidR="0054049B" w:rsidRPr="002B34F1" w:rsidRDefault="0054049B" w:rsidP="00C82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  <w:t>ТЕКУЋИ</w:t>
            </w:r>
            <w:r w:rsidR="00534C5A" w:rsidRPr="002B34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  <w:t xml:space="preserve"> </w:t>
            </w:r>
            <w:r w:rsidRPr="002B34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  <w:t>СУФИЦИТ (ЗБИРНО ЈЛС )</w:t>
            </w:r>
            <w:r w:rsidR="00534C5A" w:rsidRPr="002B34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  <w:t xml:space="preserve"> </w:t>
            </w:r>
            <w:r w:rsidRPr="002B34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  <w:t>(Д</w:t>
            </w:r>
            <w:r w:rsidR="00C43CC5" w:rsidRPr="002B34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  <w:t xml:space="preserve"> </w:t>
            </w:r>
            <w:r w:rsidR="00C8298D" w:rsidRPr="002B34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  <w:t>+</w:t>
            </w:r>
            <w:r w:rsidR="00C43CC5" w:rsidRPr="002B34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  <w:t xml:space="preserve"> </w:t>
            </w:r>
            <w:r w:rsidRPr="002B34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  <w:t>Ђ)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1A065BDA" w14:textId="77777777" w:rsidR="0054049B" w:rsidRPr="002B34F1" w:rsidRDefault="0054049B" w:rsidP="00F00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  <w:t>9,5</w:t>
            </w:r>
          </w:p>
        </w:tc>
      </w:tr>
    </w:tbl>
    <w:p w14:paraId="3FA1E48A" w14:textId="77777777" w:rsidR="00747CD2" w:rsidRPr="002B34F1" w:rsidRDefault="00747CD2" w:rsidP="00747C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0C95933" w14:textId="77777777" w:rsidR="00747CD2" w:rsidRPr="002B34F1" w:rsidRDefault="00747CD2" w:rsidP="00796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>Збирно посматрано, јединице локалних самоуправа су у 2022. години исказале суфицит од 9,5 милиона КМ, односно од 64 јединице локалне самоуправе,</w:t>
      </w:r>
      <w:r w:rsidR="00534C5A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42 су исказале суфицит </w:t>
      </w:r>
      <w:r w:rsidR="006A7C8B" w:rsidRPr="002B34F1">
        <w:rPr>
          <w:rFonts w:ascii="Times New Roman" w:hAnsi="Times New Roman" w:cs="Times New Roman"/>
          <w:sz w:val="24"/>
          <w:szCs w:val="24"/>
          <w:lang w:val="sr-Cyrl-BA"/>
        </w:rPr>
        <w:t>у укупном износу од 38,1 милион</w:t>
      </w:r>
      <w:r w:rsidR="00534C5A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КМ, док су 22 јединице исказале дефицит у укупном износу од 28,6 милиона КМ. Од 22 локалне заједнице које су исказале дефицит, 14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локалних заједница има извршење </w:t>
      </w:r>
      <w:r w:rsidR="00EB67B3" w:rsidRPr="002B34F1">
        <w:rPr>
          <w:rFonts w:ascii="Times New Roman" w:hAnsi="Times New Roman" w:cs="Times New Roman"/>
          <w:sz w:val="24"/>
          <w:szCs w:val="24"/>
          <w:lang w:val="sr-Cyrl-BA"/>
        </w:rPr>
        <w:t>које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се односи на средства суфицита, намјенски неутрошених средстава (извор ових средстава су: трансфери по основу програма јавних улагања, средства водних, шумских накнада, накнада од заштите од пожара и сл.) или повучена</w:t>
      </w:r>
      <w:r w:rsidR="00C43CC5" w:rsidRPr="002B34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а неис</w:t>
      </w:r>
      <w:r w:rsidR="00781F32" w:rsidRPr="002B34F1">
        <w:rPr>
          <w:rFonts w:ascii="Times New Roman" w:hAnsi="Times New Roman" w:cs="Times New Roman"/>
          <w:sz w:val="24"/>
          <w:szCs w:val="24"/>
          <w:lang w:val="sr-Cyrl-BA"/>
        </w:rPr>
        <w:t>коришће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на кредитна средства, што указује да се код већине општина не ради о стварном дефицит</w:t>
      </w:r>
      <w:r w:rsidR="00BB5EB8" w:rsidRPr="002B34F1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јер имају позитиван тренд нето фи</w:t>
      </w:r>
      <w:r w:rsidR="00EB67B3" w:rsidRPr="002B34F1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ансирања. </w:t>
      </w:r>
    </w:p>
    <w:p w14:paraId="076FE162" w14:textId="77777777" w:rsidR="00747CD2" w:rsidRPr="002B34F1" w:rsidRDefault="00747CD2" w:rsidP="007961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страни расхода и издатака значајно повећање се биљежи на расходима за лична примања запослених. Повећању поменутих расхода претходило је увођење још 15 домова здравља у трезор јединица локалне </w:t>
      </w:r>
      <w:r w:rsidR="00B66AD3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самоуправе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у 2022. години, као и повећање цијене рада и коефицијената у јединицама локалне самоуправе. Повећани су и расходи по основу </w:t>
      </w:r>
      <w:r w:rsidR="00781F32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коришће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ња роба и услуга, субвенција, грантова</w:t>
      </w:r>
      <w:r w:rsidR="00C43CC5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,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те дознаке на име социјалне заштите које исплаћују институције обавезног социјалног осигурања.</w:t>
      </w:r>
    </w:p>
    <w:p w14:paraId="6A2616A2" w14:textId="77777777" w:rsidR="002B34F1" w:rsidRPr="002B34F1" w:rsidRDefault="002B34F1" w:rsidP="007961F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</w:p>
    <w:p w14:paraId="523F413B" w14:textId="77777777" w:rsidR="0054049B" w:rsidRPr="002B34F1" w:rsidRDefault="0054049B" w:rsidP="007961F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Фондови </w:t>
      </w:r>
      <w:r w:rsidR="00B66AD3" w:rsidRPr="002B34F1">
        <w:rPr>
          <w:rFonts w:ascii="Times New Roman" w:hAnsi="Times New Roman" w:cs="Times New Roman"/>
          <w:b/>
          <w:i/>
          <w:sz w:val="24"/>
          <w:szCs w:val="24"/>
          <w:lang w:val="sr-Cyrl-BA"/>
        </w:rPr>
        <w:t>социјалне</w:t>
      </w:r>
      <w:r w:rsidRPr="002B34F1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сигурности</w:t>
      </w:r>
    </w:p>
    <w:p w14:paraId="5FB6625A" w14:textId="77777777" w:rsidR="002B34F1" w:rsidRPr="002B34F1" w:rsidRDefault="002B34F1" w:rsidP="007961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2E80270" w14:textId="77777777" w:rsidR="00B01D29" w:rsidRPr="002B34F1" w:rsidRDefault="0054049B" w:rsidP="007961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>Буџетски суфицит у 2022. години</w:t>
      </w:r>
      <w:r w:rsidR="00534C5A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остварили су Фонд </w:t>
      </w:r>
      <w:r w:rsidR="006A46A4" w:rsidRPr="002B34F1">
        <w:rPr>
          <w:rFonts w:ascii="Times New Roman" w:hAnsi="Times New Roman" w:cs="Times New Roman"/>
          <w:sz w:val="24"/>
          <w:szCs w:val="24"/>
          <w:lang w:val="sr-Cyrl-BA"/>
        </w:rPr>
        <w:t>здравственог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осигурања Републике Српске и Фонд солидарности за дијагностику и лијечење обољења и повреда д</w:t>
      </w:r>
      <w:r w:rsidR="007A2880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јеце у иностранству у </w:t>
      </w:r>
      <w:r w:rsidR="00B01D29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укупном </w:t>
      </w:r>
      <w:r w:rsidR="007A2880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износу </w:t>
      </w:r>
      <w:r w:rsidR="00B01D29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од </w:t>
      </w:r>
      <w:r w:rsidR="007A2880" w:rsidRPr="002B34F1">
        <w:rPr>
          <w:rFonts w:ascii="Times New Roman" w:hAnsi="Times New Roman" w:cs="Times New Roman"/>
          <w:sz w:val="24"/>
          <w:szCs w:val="24"/>
          <w:lang w:val="sr-Cyrl-BA"/>
        </w:rPr>
        <w:t>31,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="00F0625E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милиона КМ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, док су ЈУ Јавни фонд за</w:t>
      </w:r>
      <w:r w:rsidR="00534C5A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дјечију заштиту и ЈУ Завод за запошљавање Републике Српске остварили буџетски дефицит у</w:t>
      </w:r>
      <w:r w:rsidR="00B01D29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укупном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износу </w:t>
      </w:r>
      <w:r w:rsidR="00B01D29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од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-21,6</w:t>
      </w:r>
      <w:r w:rsidR="00F0625E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милиона КМ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534C5A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01D29" w:rsidRPr="002B34F1">
        <w:rPr>
          <w:rFonts w:ascii="Times New Roman" w:hAnsi="Times New Roman" w:cs="Times New Roman"/>
          <w:sz w:val="24"/>
          <w:szCs w:val="24"/>
          <w:lang w:val="sr-Cyrl-BA"/>
        </w:rPr>
        <w:t>Дефицит остварен код ЈУ Јавни фонд за дјечију заштиту износи 12,5 милиона КМ</w:t>
      </w:r>
      <w:r w:rsidR="00B01D29" w:rsidRPr="002B34F1">
        <w:rPr>
          <w:rStyle w:val="FootnoteReference"/>
          <w:rFonts w:ascii="Times New Roman" w:hAnsi="Times New Roman" w:cs="Times New Roman"/>
          <w:sz w:val="24"/>
          <w:szCs w:val="24"/>
          <w:lang w:val="sr-Cyrl-BA"/>
        </w:rPr>
        <w:footnoteReference w:id="6"/>
      </w:r>
      <w:r w:rsidR="00B01D29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, док је Завод за запошљавање Републике </w:t>
      </w:r>
      <w:r w:rsidR="00417B71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Српске </w:t>
      </w:r>
      <w:r w:rsidR="00B01D29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остварио дефицит у износу од 9,1 милион КМ.</w:t>
      </w:r>
    </w:p>
    <w:p w14:paraId="49B28A88" w14:textId="77777777" w:rsidR="007961F0" w:rsidRPr="002B34F1" w:rsidRDefault="007961F0" w:rsidP="007961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61796962" w14:textId="77777777" w:rsidR="00FA7EFD" w:rsidRPr="002B34F1" w:rsidRDefault="00FA7EFD" w:rsidP="00796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9CCB69D" w14:textId="77777777" w:rsidR="0054049B" w:rsidRPr="002B34F1" w:rsidRDefault="0054049B" w:rsidP="00796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>Табела 5. Приходи/примици и расходи/издаци фондова социјалног осигурања у 2022. години</w:t>
      </w:r>
    </w:p>
    <w:tbl>
      <w:tblPr>
        <w:tblW w:w="8995" w:type="dxa"/>
        <w:tblLook w:val="04A0" w:firstRow="1" w:lastRow="0" w:firstColumn="1" w:lastColumn="0" w:noHBand="0" w:noVBand="1"/>
      </w:tblPr>
      <w:tblGrid>
        <w:gridCol w:w="7717"/>
        <w:gridCol w:w="1278"/>
      </w:tblGrid>
      <w:tr w:rsidR="0054049B" w:rsidRPr="002B34F1" w14:paraId="6A1611E8" w14:textId="77777777" w:rsidTr="00EE0EB5">
        <w:trPr>
          <w:trHeight w:val="318"/>
        </w:trPr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E3D1"/>
            <w:vAlign w:val="center"/>
            <w:hideMark/>
          </w:tcPr>
          <w:p w14:paraId="0D8648A1" w14:textId="77777777" w:rsidR="0054049B" w:rsidRPr="002B34F1" w:rsidRDefault="00970BC6" w:rsidP="006A46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  <w:t>А.</w:t>
            </w:r>
            <w:r w:rsidR="00534C5A" w:rsidRPr="002B34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  <w:t xml:space="preserve"> </w:t>
            </w:r>
            <w:r w:rsidRPr="002B34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  <w:t>ПРИХОДИ</w:t>
            </w:r>
            <w:r w:rsidR="00534C5A" w:rsidRPr="002B34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  <w:t xml:space="preserve"> </w:t>
            </w:r>
            <w:r w:rsidRPr="002B34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  <w:t>фонд 01</w:t>
            </w:r>
            <w:r w:rsidR="006A46A4" w:rsidRPr="002B34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  <w:t>–</w:t>
            </w:r>
            <w:r w:rsidR="0054049B" w:rsidRPr="002B34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E3D1"/>
            <w:vAlign w:val="center"/>
            <w:hideMark/>
          </w:tcPr>
          <w:p w14:paraId="739D06AD" w14:textId="77777777" w:rsidR="0054049B" w:rsidRPr="002B34F1" w:rsidRDefault="0054049B" w:rsidP="00F00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  <w:t>1.109,3</w:t>
            </w:r>
          </w:p>
        </w:tc>
      </w:tr>
      <w:tr w:rsidR="0054049B" w:rsidRPr="002B34F1" w14:paraId="715D1C01" w14:textId="77777777" w:rsidTr="00EE0EB5">
        <w:trPr>
          <w:trHeight w:val="364"/>
        </w:trPr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9E33F" w14:textId="77777777" w:rsidR="0054049B" w:rsidRPr="002B34F1" w:rsidRDefault="0054049B" w:rsidP="00F00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  <w:t xml:space="preserve">Б. ПРИМИЦИ ЗА </w:t>
            </w:r>
            <w:r w:rsidR="00970BC6" w:rsidRPr="002B34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  <w:t>НЕФИНАНСИЈСКУ ИМОВИНУ</w:t>
            </w:r>
            <w:r w:rsidR="00534C5A" w:rsidRPr="002B34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  <w:t xml:space="preserve"> </w:t>
            </w:r>
            <w:r w:rsidR="00970BC6" w:rsidRPr="002B34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  <w:t xml:space="preserve">фонд </w:t>
            </w:r>
            <w:r w:rsidR="006A46A4" w:rsidRPr="002B34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  <w:t>01–05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CC4A" w14:textId="77777777" w:rsidR="0054049B" w:rsidRPr="002B34F1" w:rsidRDefault="006A46A4" w:rsidP="00F00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  <w:t>0</w:t>
            </w:r>
          </w:p>
        </w:tc>
      </w:tr>
      <w:tr w:rsidR="0054049B" w:rsidRPr="002B34F1" w14:paraId="083FAC53" w14:textId="77777777" w:rsidTr="00EE0EB5">
        <w:trPr>
          <w:trHeight w:val="318"/>
        </w:trPr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E3D1"/>
            <w:vAlign w:val="center"/>
            <w:hideMark/>
          </w:tcPr>
          <w:p w14:paraId="1C084C80" w14:textId="77777777" w:rsidR="0054049B" w:rsidRPr="002B34F1" w:rsidRDefault="0054049B" w:rsidP="00F004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BA" w:eastAsia="sr-Cyrl-CS"/>
              </w:rPr>
              <w:t>УКУПНО А</w:t>
            </w:r>
            <w:r w:rsidR="006A46A4" w:rsidRPr="002B34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BA" w:eastAsia="sr-Cyrl-CS"/>
              </w:rPr>
              <w:t xml:space="preserve"> </w:t>
            </w:r>
            <w:r w:rsidRPr="002B34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BA" w:eastAsia="sr-Cyrl-CS"/>
              </w:rPr>
              <w:t>+</w:t>
            </w:r>
            <w:r w:rsidR="006A46A4" w:rsidRPr="002B34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BA" w:eastAsia="sr-Cyrl-CS"/>
              </w:rPr>
              <w:t xml:space="preserve"> </w:t>
            </w:r>
            <w:r w:rsidRPr="002B34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BA" w:eastAsia="sr-Cyrl-CS"/>
              </w:rPr>
              <w:t>Б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E3D1"/>
            <w:vAlign w:val="center"/>
            <w:hideMark/>
          </w:tcPr>
          <w:p w14:paraId="056B80FA" w14:textId="77777777" w:rsidR="0054049B" w:rsidRPr="002B34F1" w:rsidRDefault="0054049B" w:rsidP="00F00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BA" w:eastAsia="sr-Cyrl-CS"/>
              </w:rPr>
              <w:t>1.109,3</w:t>
            </w:r>
          </w:p>
        </w:tc>
      </w:tr>
      <w:tr w:rsidR="0054049B" w:rsidRPr="002B34F1" w14:paraId="02276490" w14:textId="77777777" w:rsidTr="00EE0EB5">
        <w:trPr>
          <w:trHeight w:val="303"/>
        </w:trPr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93CB" w14:textId="77777777" w:rsidR="0054049B" w:rsidRPr="002B34F1" w:rsidRDefault="0054049B" w:rsidP="00C82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  <w:t>В.</w:t>
            </w:r>
            <w:r w:rsidR="00534C5A" w:rsidRPr="002B34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  <w:t xml:space="preserve"> </w:t>
            </w:r>
            <w:r w:rsidRPr="002B34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  <w:t>РАСХОДИ</w:t>
            </w:r>
            <w:r w:rsidR="00534C5A" w:rsidRPr="002B34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  <w:t xml:space="preserve"> </w:t>
            </w:r>
            <w:r w:rsidR="00970BC6" w:rsidRPr="002B34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  <w:t xml:space="preserve">фонд </w:t>
            </w:r>
            <w:r w:rsidR="006A46A4" w:rsidRPr="002B34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  <w:t>01–05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C8997" w14:textId="77777777" w:rsidR="0054049B" w:rsidRPr="002B34F1" w:rsidRDefault="0054049B" w:rsidP="00F00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  <w:t>993,5</w:t>
            </w:r>
          </w:p>
        </w:tc>
      </w:tr>
      <w:tr w:rsidR="0054049B" w:rsidRPr="002B34F1" w14:paraId="275B2EBC" w14:textId="77777777" w:rsidTr="00EE0EB5">
        <w:trPr>
          <w:trHeight w:val="318"/>
        </w:trPr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E3D1"/>
            <w:vAlign w:val="center"/>
            <w:hideMark/>
          </w:tcPr>
          <w:p w14:paraId="3C49A1C8" w14:textId="77777777" w:rsidR="0054049B" w:rsidRPr="002B34F1" w:rsidRDefault="0054049B" w:rsidP="00F004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  <w:t>Г. ИЗДАЦИ ЗА</w:t>
            </w:r>
            <w:r w:rsidR="00970BC6" w:rsidRPr="002B34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  <w:t xml:space="preserve"> НЕФИНАНСИЈСКУ ИМОВИНУ</w:t>
            </w:r>
            <w:r w:rsidR="00534C5A" w:rsidRPr="002B34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  <w:t xml:space="preserve"> </w:t>
            </w:r>
            <w:r w:rsidR="00970BC6" w:rsidRPr="002B34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  <w:t xml:space="preserve">фонд </w:t>
            </w:r>
            <w:r w:rsidR="006A46A4" w:rsidRPr="002B34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  <w:t>01–05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E3D1"/>
            <w:vAlign w:val="center"/>
            <w:hideMark/>
          </w:tcPr>
          <w:p w14:paraId="6FD05BB5" w14:textId="77777777" w:rsidR="0054049B" w:rsidRPr="002B34F1" w:rsidRDefault="0054049B" w:rsidP="00F00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  <w:t>105,7</w:t>
            </w:r>
          </w:p>
        </w:tc>
      </w:tr>
      <w:tr w:rsidR="0054049B" w:rsidRPr="002B34F1" w14:paraId="7DAE9DEC" w14:textId="77777777" w:rsidTr="00EE0EB5">
        <w:trPr>
          <w:trHeight w:val="303"/>
        </w:trPr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C9F10" w14:textId="77777777" w:rsidR="0054049B" w:rsidRPr="002B34F1" w:rsidRDefault="0054049B" w:rsidP="00F004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BA" w:eastAsia="sr-Cyrl-CS"/>
              </w:rPr>
              <w:t>УКУПНО (В</w:t>
            </w:r>
            <w:r w:rsidR="006A46A4" w:rsidRPr="002B34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BA" w:eastAsia="sr-Cyrl-CS"/>
              </w:rPr>
              <w:t xml:space="preserve"> </w:t>
            </w:r>
            <w:r w:rsidRPr="002B34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BA" w:eastAsia="sr-Cyrl-CS"/>
              </w:rPr>
              <w:t>+</w:t>
            </w:r>
            <w:r w:rsidR="006A46A4" w:rsidRPr="002B34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BA" w:eastAsia="sr-Cyrl-CS"/>
              </w:rPr>
              <w:t xml:space="preserve"> </w:t>
            </w:r>
            <w:r w:rsidRPr="002B34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BA" w:eastAsia="sr-Cyrl-CS"/>
              </w:rPr>
              <w:t>Г)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F0E91" w14:textId="77777777" w:rsidR="0054049B" w:rsidRPr="002B34F1" w:rsidRDefault="0054049B" w:rsidP="00F00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BA" w:eastAsia="sr-Cyrl-CS"/>
              </w:rPr>
              <w:t>1.099,2</w:t>
            </w:r>
          </w:p>
        </w:tc>
      </w:tr>
      <w:tr w:rsidR="00C8298D" w:rsidRPr="002B34F1" w14:paraId="508ACDDB" w14:textId="77777777" w:rsidTr="00EE0EB5">
        <w:trPr>
          <w:trHeight w:val="318"/>
        </w:trPr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E3D1"/>
            <w:vAlign w:val="center"/>
          </w:tcPr>
          <w:p w14:paraId="2EED715A" w14:textId="77777777" w:rsidR="00C8298D" w:rsidRPr="002B34F1" w:rsidRDefault="00C8298D" w:rsidP="00C82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 xml:space="preserve">Д. ТЕКУЋИ ДЕФИЦИТ (ПОЈЕДИНАЧНО </w:t>
            </w:r>
            <w:r w:rsidRPr="002B34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  <w:t>ФОНДОВИ СОЦИЈАЛНОГ ОСИГУРАЊА)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E3D1"/>
            <w:vAlign w:val="center"/>
          </w:tcPr>
          <w:p w14:paraId="66226508" w14:textId="77777777" w:rsidR="00C8298D" w:rsidRPr="002B34F1" w:rsidRDefault="00C8298D" w:rsidP="00C82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  <w:t>-21,6</w:t>
            </w:r>
          </w:p>
        </w:tc>
      </w:tr>
      <w:tr w:rsidR="00C8298D" w:rsidRPr="002B34F1" w14:paraId="6AA483EC" w14:textId="77777777" w:rsidTr="00EE0EB5">
        <w:trPr>
          <w:trHeight w:val="318"/>
        </w:trPr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81E40" w14:textId="77777777" w:rsidR="00C8298D" w:rsidRPr="002B34F1" w:rsidRDefault="00C8298D" w:rsidP="00C82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Cyrl-CS"/>
              </w:rPr>
              <w:t xml:space="preserve">Ђ. ТЕКУЋИ СУФИЦИТ (ПОЈЕДИНАЧНО </w:t>
            </w:r>
            <w:r w:rsidRPr="002B34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  <w:t>ФОНДОВИ СОЦИЈАЛНОГ ОСИГУРАЊА)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D7954" w14:textId="77777777" w:rsidR="00C8298D" w:rsidRPr="002B34F1" w:rsidRDefault="00C8298D" w:rsidP="00C82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BA" w:eastAsia="sr-Cyrl-CS"/>
              </w:rPr>
              <w:t>31,7</w:t>
            </w:r>
          </w:p>
        </w:tc>
      </w:tr>
      <w:tr w:rsidR="0054049B" w:rsidRPr="002B34F1" w14:paraId="6A33211B" w14:textId="77777777" w:rsidTr="00EE0EB5">
        <w:trPr>
          <w:trHeight w:val="318"/>
        </w:trPr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E3D1"/>
            <w:vAlign w:val="center"/>
            <w:hideMark/>
          </w:tcPr>
          <w:p w14:paraId="4465F0F7" w14:textId="77777777" w:rsidR="0054049B" w:rsidRPr="002B34F1" w:rsidRDefault="00E013A2" w:rsidP="003F54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sr-Cyrl-BA" w:eastAsia="sr-Cyrl-CS"/>
              </w:rPr>
              <w:t>ТЕКУЋИ СУФИЦИТ (ЗБИРНО ФОНДО</w:t>
            </w:r>
            <w:r w:rsidR="0054049B" w:rsidRPr="002B34F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sr-Cyrl-BA" w:eastAsia="sr-Cyrl-CS"/>
              </w:rPr>
              <w:t>ВИ СОЦИЈАЛНОГ ОСИГУРАЊА</w:t>
            </w:r>
            <w:r w:rsidR="00665826" w:rsidRPr="002B34F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sr-Cyrl-BA" w:eastAsia="sr-Cyrl-CS"/>
              </w:rPr>
              <w:t xml:space="preserve">) </w:t>
            </w:r>
            <w:r w:rsidR="00C8298D" w:rsidRPr="002B34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  <w:t>(Д</w:t>
            </w:r>
            <w:r w:rsidR="006A46A4" w:rsidRPr="002B34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  <w:t xml:space="preserve"> </w:t>
            </w:r>
            <w:r w:rsidR="00C8298D" w:rsidRPr="002B34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  <w:t>+</w:t>
            </w:r>
            <w:r w:rsidR="006A46A4" w:rsidRPr="002B34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  <w:t xml:space="preserve"> </w:t>
            </w:r>
            <w:r w:rsidR="00C8298D" w:rsidRPr="002B34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Cyrl-CS"/>
              </w:rPr>
              <w:t>Ђ)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E3D1"/>
            <w:vAlign w:val="center"/>
            <w:hideMark/>
          </w:tcPr>
          <w:p w14:paraId="15DA13B7" w14:textId="77777777" w:rsidR="0054049B" w:rsidRPr="002B34F1" w:rsidRDefault="0054049B" w:rsidP="00F00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sr-Cyrl-BA" w:eastAsia="sr-Cyrl-CS"/>
              </w:rPr>
            </w:pPr>
            <w:r w:rsidRPr="002B34F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sr-Cyrl-BA" w:eastAsia="sr-Cyrl-CS"/>
              </w:rPr>
              <w:t>10,1</w:t>
            </w:r>
          </w:p>
        </w:tc>
      </w:tr>
    </w:tbl>
    <w:p w14:paraId="4689E98A" w14:textId="77777777" w:rsidR="00F0625E" w:rsidRPr="002B34F1" w:rsidRDefault="00F0625E" w:rsidP="00CB582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3D14014" w14:textId="77777777" w:rsidR="001F48D5" w:rsidRPr="002B34F1" w:rsidRDefault="001F48D5" w:rsidP="00B712F6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14:paraId="7D941D26" w14:textId="77777777" w:rsidR="002B34F1" w:rsidRPr="002B34F1" w:rsidRDefault="002B34F1" w:rsidP="00B712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62F2B7F" w14:textId="77777777" w:rsidR="002B34F1" w:rsidRPr="002B34F1" w:rsidRDefault="002B34F1" w:rsidP="00B712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AA4882B" w14:textId="77777777" w:rsidR="002B34F1" w:rsidRPr="002B34F1" w:rsidRDefault="002B34F1" w:rsidP="00B712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2508BC14" w14:textId="77777777" w:rsidR="002B34F1" w:rsidRPr="002B34F1" w:rsidRDefault="002B34F1" w:rsidP="00B712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B2418AA" w14:textId="77777777" w:rsidR="00A13902" w:rsidRPr="002B34F1" w:rsidRDefault="00A13902" w:rsidP="00B712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МАКРОЕКОНОМСКА КРЕТАЊА У РЕПУБЛИЦИ СРПСКОЈ У ПЕРИОДУ 2022–2026. ГОДИНА</w:t>
      </w:r>
    </w:p>
    <w:p w14:paraId="12D323F4" w14:textId="77777777" w:rsidR="007961F0" w:rsidRPr="002B34F1" w:rsidRDefault="007961F0" w:rsidP="007961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916F439" w14:textId="77777777" w:rsidR="007961F0" w:rsidRPr="002B34F1" w:rsidRDefault="007961F0" w:rsidP="007961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0A40B79" w14:textId="77777777" w:rsidR="00A13902" w:rsidRPr="002B34F1" w:rsidRDefault="00A13902" w:rsidP="007961F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highlight w:val="yellow"/>
          <w:lang w:val="sr-Cyrl-BA"/>
        </w:rPr>
      </w:pPr>
      <w:r w:rsidRPr="002B34F1">
        <w:rPr>
          <w:rFonts w:ascii="Times New Roman" w:hAnsi="Times New Roman" w:cs="Times New Roman"/>
          <w:b/>
          <w:i/>
          <w:sz w:val="24"/>
          <w:szCs w:val="24"/>
          <w:lang w:val="sr-Cyrl-BA"/>
        </w:rPr>
        <w:t>Макроекономски показатељи у 2022. годин</w:t>
      </w:r>
      <w:r w:rsidR="006A46A4" w:rsidRPr="002B34F1">
        <w:rPr>
          <w:rFonts w:ascii="Times New Roman" w:hAnsi="Times New Roman" w:cs="Times New Roman"/>
          <w:b/>
          <w:i/>
          <w:sz w:val="24"/>
          <w:szCs w:val="24"/>
          <w:lang w:val="sr-Cyrl-BA"/>
        </w:rPr>
        <w:t>и</w:t>
      </w:r>
    </w:p>
    <w:p w14:paraId="0058CF7E" w14:textId="77777777" w:rsidR="00622802" w:rsidRPr="002B34F1" w:rsidRDefault="00622802" w:rsidP="00796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A1CC088" w14:textId="77777777" w:rsidR="00A13902" w:rsidRPr="002B34F1" w:rsidRDefault="00A13902" w:rsidP="007961F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>Након стабилизације епидемиолошк</w:t>
      </w:r>
      <w:r w:rsidR="006A46A4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е кризе изазване вирусом корона, током 2022. Године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дошло је до ескалације кризе у Украјини, санкција према Русији и заоштравања међународних и економских односа, те застоја у глобалним ланцима снабд</w:t>
      </w:r>
      <w:r w:rsidR="006A46A4" w:rsidRPr="002B34F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јевања. Све наведено је утицало на раст цијена енергената и хране на свјетском тржишту и јачања инфлаторних притисака, што се даље одразило на успоравање глобалне трговине и тражње, те временом утицало на слабљење глобалног економског раста. </w:t>
      </w:r>
      <w:r w:rsidR="006A46A4" w:rsidRPr="002B34F1">
        <w:rPr>
          <w:rFonts w:ascii="Times New Roman" w:hAnsi="Times New Roman" w:cs="Times New Roman"/>
          <w:sz w:val="24"/>
          <w:szCs w:val="24"/>
          <w:lang w:val="sr-Cyrl-BA"/>
        </w:rPr>
        <w:t>С о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бзиром </w:t>
      </w:r>
      <w:r w:rsidR="006A46A4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на то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да је привреда Републике Српске у значајној мјери под утицајем дешавања у окружењу, релативно добра економска динамика у прва два квартала (QI = 4</w:t>
      </w:r>
      <w:r w:rsidR="00291DEA" w:rsidRPr="002B34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5% и QII = 4</w:t>
      </w:r>
      <w:r w:rsidR="00291DEA" w:rsidRPr="002B34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6A46A4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9%)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почела је значајно успоравати у трећем и четвртом кварталу 2022. године (QIII = 2</w:t>
      </w:r>
      <w:r w:rsidR="00291DEA" w:rsidRPr="002B34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9% и QIV = 1</w:t>
      </w:r>
      <w:r w:rsidR="00291DEA" w:rsidRPr="002B34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8%), тако да је р</w:t>
      </w:r>
      <w:r w:rsidR="00CE0650" w:rsidRPr="002B34F1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ални раст БДП-а на годишњем нивоу износио 3</w:t>
      </w:r>
      <w:r w:rsidR="001C682B" w:rsidRPr="002B34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5%. На овакво кретање највише је утицала растућа инфлација, уз повећану неизвјесност као посљедице заоштравања односа на међународном нивоу. </w:t>
      </w:r>
    </w:p>
    <w:p w14:paraId="6C12FE3E" w14:textId="77777777" w:rsidR="00A13902" w:rsidRPr="002B34F1" w:rsidRDefault="00273ACA" w:rsidP="007961F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>Усљ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>ед јачања инфлаторних притисака на глобалном нивоу,</w:t>
      </w:r>
      <w:r w:rsidR="006A46A4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током 2022. године 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>инфлација у Републици Српској, на</w:t>
      </w:r>
      <w:r w:rsidR="00126F95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годишњем нивоу, износила је 12,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>7%. Цијене су највише порасле у одјељку Превоз (25</w:t>
      </w:r>
      <w:r w:rsidR="00126F95" w:rsidRPr="002B34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>6%) усљед виших ци</w:t>
      </w:r>
      <w:r w:rsidR="006A46A4" w:rsidRPr="002B34F1">
        <w:rPr>
          <w:rFonts w:ascii="Times New Roman" w:hAnsi="Times New Roman" w:cs="Times New Roman"/>
          <w:sz w:val="24"/>
          <w:szCs w:val="24"/>
          <w:lang w:val="sr-Cyrl-BA"/>
        </w:rPr>
        <w:t>јена у групи Горива и мазива (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>39</w:t>
      </w:r>
      <w:r w:rsidR="00126F95" w:rsidRPr="002B34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>3%</w:t>
      </w:r>
      <w:r w:rsidR="006A46A4" w:rsidRPr="002B34F1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и у одјељку Храна и безалкохолна пића (21</w:t>
      </w:r>
      <w:r w:rsidR="00D03A7A" w:rsidRPr="002B34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>2%). Овакав раст цијена углавном је посљедица увезене инфлације, односно пораста цијена сировина и индустријских производа на свјетском тржишту, ус</w:t>
      </w:r>
      <w:r w:rsidR="006A46A4" w:rsidRPr="002B34F1">
        <w:rPr>
          <w:rFonts w:ascii="Times New Roman" w:hAnsi="Times New Roman" w:cs="Times New Roman"/>
          <w:sz w:val="24"/>
          <w:szCs w:val="24"/>
          <w:lang w:val="sr-Cyrl-BA"/>
        </w:rPr>
        <w:t>љ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ед сложене политичке и економске ситуације. На кретање цијена такође је утицао и опоравак домаће потрошње, те ниска основица из претходне године. </w:t>
      </w:r>
    </w:p>
    <w:p w14:paraId="2FB07AC6" w14:textId="77777777" w:rsidR="00A13902" w:rsidRPr="002B34F1" w:rsidRDefault="00A13902" w:rsidP="007961F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>Индустријска производња</w:t>
      </w:r>
      <w:r w:rsidRPr="002B34F1">
        <w:rPr>
          <w:rFonts w:ascii="Times New Roman" w:hAnsi="Times New Roman" w:cs="Times New Roman"/>
          <w:sz w:val="24"/>
          <w:szCs w:val="24"/>
          <w:vertAlign w:val="superscript"/>
          <w:lang w:val="sr-Cyrl-BA"/>
        </w:rPr>
        <w:footnoteReference w:id="7"/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, чије учешће у БДП-у Републике Српске се процјењује на око 20%, у 2022. години биљежи</w:t>
      </w:r>
      <w:r w:rsidR="00D03A7A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просјечно годишње смањење од 0,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1%. Поред високе основице из претходног периода (р</w:t>
      </w:r>
      <w:r w:rsidR="00D03A7A" w:rsidRPr="002B34F1">
        <w:rPr>
          <w:rFonts w:ascii="Times New Roman" w:hAnsi="Times New Roman" w:cs="Times New Roman"/>
          <w:sz w:val="24"/>
          <w:szCs w:val="24"/>
          <w:lang w:val="sr-Cyrl-BA"/>
        </w:rPr>
        <w:t>аст у 2021. години износио је 9,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9%), овом смањењу је, посматрано по </w:t>
      </w:r>
      <w:r w:rsidR="006A46A4" w:rsidRPr="002B34F1">
        <w:rPr>
          <w:rFonts w:ascii="Times New Roman" w:hAnsi="Times New Roman" w:cs="Times New Roman"/>
          <w:sz w:val="24"/>
          <w:szCs w:val="24"/>
          <w:lang w:val="sr-Cyrl-BA"/>
        </w:rPr>
        <w:t>главним индустријским групама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и уважавајући њихово учешће у укупној стр</w:t>
      </w:r>
      <w:r w:rsidR="00A75E6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уктури индустријске производње,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највише допринијело смањење производње Трајних производа за широку потрошњу за 9</w:t>
      </w:r>
      <w:r w:rsidR="00D03A7A" w:rsidRPr="002B34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7%, те смањење производње Енергије за 1</w:t>
      </w:r>
      <w:r w:rsidR="00D03A7A" w:rsidRPr="002B34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6632E6" w:rsidRPr="002B34F1">
        <w:rPr>
          <w:rFonts w:ascii="Times New Roman" w:hAnsi="Times New Roman" w:cs="Times New Roman"/>
          <w:sz w:val="24"/>
          <w:szCs w:val="24"/>
          <w:lang w:val="sr-Cyrl-BA"/>
        </w:rPr>
        <w:t>6%. С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друге стране, број запослених у инду</w:t>
      </w:r>
      <w:r w:rsidR="00D03A7A" w:rsidRPr="002B34F1">
        <w:rPr>
          <w:rFonts w:ascii="Times New Roman" w:hAnsi="Times New Roman" w:cs="Times New Roman"/>
          <w:sz w:val="24"/>
          <w:szCs w:val="24"/>
          <w:lang w:val="sr-Cyrl-BA"/>
        </w:rPr>
        <w:t>стрији се незнатно повећао за 0,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7%. Такође, про</w:t>
      </w:r>
      <w:r w:rsidR="00D03A7A" w:rsidRPr="002B34F1">
        <w:rPr>
          <w:rFonts w:ascii="Times New Roman" w:hAnsi="Times New Roman" w:cs="Times New Roman"/>
          <w:sz w:val="24"/>
          <w:szCs w:val="24"/>
          <w:lang w:val="sr-Cyrl-BA"/>
        </w:rPr>
        <w:t>мет индустрије повећан је за 24,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7%, при чему је највећу стопу раста имао промет Енергије. Посматрано по тржиштима, промет индустрије на д</w:t>
      </w:r>
      <w:r w:rsidR="00D03A7A" w:rsidRPr="002B34F1">
        <w:rPr>
          <w:rFonts w:ascii="Times New Roman" w:hAnsi="Times New Roman" w:cs="Times New Roman"/>
          <w:sz w:val="24"/>
          <w:szCs w:val="24"/>
          <w:lang w:val="sr-Cyrl-BA"/>
        </w:rPr>
        <w:t>омаћем тржишту повећан је за 24,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6%, док је промет на иностр</w:t>
      </w:r>
      <w:r w:rsidR="00D03A7A" w:rsidRPr="002B34F1">
        <w:rPr>
          <w:rFonts w:ascii="Times New Roman" w:hAnsi="Times New Roman" w:cs="Times New Roman"/>
          <w:sz w:val="24"/>
          <w:szCs w:val="24"/>
          <w:lang w:val="sr-Cyrl-BA"/>
        </w:rPr>
        <w:t>аном тржишту био већи за 24,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8%. </w:t>
      </w:r>
    </w:p>
    <w:p w14:paraId="2062C749" w14:textId="77777777" w:rsidR="00A13902" w:rsidRPr="002B34F1" w:rsidRDefault="00CE0650" w:rsidP="007961F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>Тржиште рада је у 2022. години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задржало стабилност и остварило позитивне резултате упркос веома изазовним политичким и економским условима. Просјечан број запослених</w:t>
      </w:r>
      <w:r w:rsidR="00D45EF1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за 2022. годину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износио</w:t>
      </w:r>
      <w:r w:rsidR="00D45EF1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je 286.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>679 и највећи је до сада. Просјечан број незапослени</w:t>
      </w:r>
      <w:r w:rsidR="00D45EF1" w:rsidRPr="002B34F1">
        <w:rPr>
          <w:rFonts w:ascii="Times New Roman" w:hAnsi="Times New Roman" w:cs="Times New Roman"/>
          <w:sz w:val="24"/>
          <w:szCs w:val="24"/>
          <w:lang w:val="sr-Cyrl-BA"/>
        </w:rPr>
        <w:t>х за 2022. годину износио је 67.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>745 и за 10</w:t>
      </w:r>
      <w:r w:rsidR="00D45EF1" w:rsidRPr="002B34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>9% мањи је у односу на претходну годину. Према подацима из Анкете о радној снази за 2022. годину, стопа незапослености износи 11</w:t>
      </w:r>
      <w:r w:rsidR="00D45EF1" w:rsidRPr="002B34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>2%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док</w:t>
      </w:r>
      <w:r w:rsidR="00534C5A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>je стопа запослености 41</w:t>
      </w:r>
      <w:r w:rsidR="00D45EF1" w:rsidRPr="002B34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9%. У настојању да се сузбију посљедице инфлаторних кретања, активности Владе Републике Српске у 2022. години биле су усмјерене ка растерећењу привреде и подстицању послодаваца да повећају плате запослених у реалном сектору, што је резултирало израженим растом примања у овом сектору. Такође, плате запослених у јавној управи повећаване су у неколико наврата. </w:t>
      </w:r>
    </w:p>
    <w:p w14:paraId="08840EB2" w14:textId="77777777" w:rsidR="00A13902" w:rsidRPr="002B34F1" w:rsidRDefault="00A13902" w:rsidP="007961F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Просјечна нето плат</w:t>
      </w:r>
      <w:r w:rsidR="00D45EF1" w:rsidRPr="002B34F1">
        <w:rPr>
          <w:rFonts w:ascii="Times New Roman" w:hAnsi="Times New Roman" w:cs="Times New Roman"/>
          <w:sz w:val="24"/>
          <w:szCs w:val="24"/>
          <w:lang w:val="sr-Cyrl-BA"/>
        </w:rPr>
        <w:t>а за 2022. годину износила je 1.144 КМ, уз номинални раст од 13,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9% на год</w:t>
      </w:r>
      <w:r w:rsidR="00CE0650" w:rsidRPr="002B34F1">
        <w:rPr>
          <w:rFonts w:ascii="Times New Roman" w:hAnsi="Times New Roman" w:cs="Times New Roman"/>
          <w:sz w:val="24"/>
          <w:szCs w:val="24"/>
          <w:lang w:val="sr-Cyrl-BA"/>
        </w:rPr>
        <w:t>ишњем нивоу. Током 2022. године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пензије у Републици Српској су значајно повећане, а Влада Републике Српске је донијела </w:t>
      </w:r>
      <w:r w:rsidR="00CE0650" w:rsidRPr="002B34F1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длуке којима су у два наврата обезбијеђене једнократне новчане помоћи пензионерима у износу по 100 КМ. Просјечна пензија за 2022. годину износила је 461 КМ, уз номинални раст од 12</w:t>
      </w:r>
      <w:r w:rsidR="006B15DF" w:rsidRPr="002B34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7% у односу на претходну годину. Значајан раст увозних и извозних цијена, солидна тражња, повећана економска активност и инвестиције имали су за резултат повећање укупног обима спољнотрговинске робне размјене </w:t>
      </w:r>
      <w:r w:rsidR="006B15DF" w:rsidRPr="002B34F1">
        <w:rPr>
          <w:rFonts w:ascii="Times New Roman" w:hAnsi="Times New Roman" w:cs="Times New Roman"/>
          <w:sz w:val="24"/>
          <w:szCs w:val="24"/>
          <w:lang w:val="sr-Cyrl-BA"/>
        </w:rPr>
        <w:t>Републике Српске од 2,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6 милијарде КМ, што је за 26% више у односу на претходну годину.</w:t>
      </w:r>
      <w:r w:rsidR="006B15DF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Раст извоза роба је износио 22,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7% с највећим доприносом извоза електричне </w:t>
      </w:r>
      <w:r w:rsidR="00CE0650" w:rsidRPr="002B34F1">
        <w:rPr>
          <w:rFonts w:ascii="Times New Roman" w:hAnsi="Times New Roman" w:cs="Times New Roman"/>
          <w:sz w:val="24"/>
          <w:szCs w:val="24"/>
          <w:lang w:val="sr-Cyrl-BA"/>
        </w:rPr>
        <w:t>енергије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и</w:t>
      </w:r>
      <w:r w:rsidR="00CE0650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вјештачког корунда, алуминијум-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оксида и алуминијум</w:t>
      </w:r>
      <w:r w:rsidR="00CE0650" w:rsidRPr="002B34F1"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хидроксида. Истовремено, раст увоз</w:t>
      </w:r>
      <w:r w:rsidR="006B15DF" w:rsidRPr="002B34F1">
        <w:rPr>
          <w:rFonts w:ascii="Times New Roman" w:hAnsi="Times New Roman" w:cs="Times New Roman"/>
          <w:sz w:val="24"/>
          <w:szCs w:val="24"/>
          <w:lang w:val="sr-Cyrl-BA"/>
        </w:rPr>
        <w:t>а роба износио је 28,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6% с највећим доприносом увоза нафтних уља и азотних ђубрива. Овакво кретање спољнотргов</w:t>
      </w:r>
      <w:r w:rsidR="00600B46" w:rsidRPr="002B34F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нске робне размјене довело је до раста спољнотрговинског робног дефицита за 51</w:t>
      </w:r>
      <w:r w:rsidR="006B15DF" w:rsidRPr="002B34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6%, што се посљедично негативно одразило на раст БДП-а. </w:t>
      </w:r>
    </w:p>
    <w:p w14:paraId="4D34679A" w14:textId="77777777" w:rsidR="007E38F0" w:rsidRPr="002B34F1" w:rsidRDefault="007E38F0" w:rsidP="00F004DB">
      <w:pPr>
        <w:pStyle w:val="BodyText"/>
        <w:spacing w:before="2"/>
        <w:rPr>
          <w:sz w:val="24"/>
          <w:szCs w:val="24"/>
          <w:lang w:val="sr-Cyrl-BA"/>
        </w:rPr>
      </w:pPr>
    </w:p>
    <w:p w14:paraId="6E776DD6" w14:textId="77777777" w:rsidR="007961F0" w:rsidRPr="002B34F1" w:rsidRDefault="007961F0" w:rsidP="007961F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</w:p>
    <w:p w14:paraId="76BDA459" w14:textId="77777777" w:rsidR="00A13902" w:rsidRPr="002B34F1" w:rsidRDefault="00A13902" w:rsidP="007961F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b/>
          <w:i/>
          <w:sz w:val="24"/>
          <w:szCs w:val="24"/>
          <w:lang w:val="sr-Cyrl-BA"/>
        </w:rPr>
        <w:t>Текућа</w:t>
      </w:r>
      <w:r w:rsidR="00B309CD" w:rsidRPr="002B34F1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</w:t>
      </w:r>
      <w:r w:rsidRPr="002B34F1">
        <w:rPr>
          <w:rFonts w:ascii="Times New Roman" w:hAnsi="Times New Roman" w:cs="Times New Roman"/>
          <w:b/>
          <w:i/>
          <w:sz w:val="24"/>
          <w:szCs w:val="24"/>
          <w:lang w:val="sr-Cyrl-BA"/>
        </w:rPr>
        <w:t>макроекономска кретања и изгледи за период 2023–2026. годин</w:t>
      </w:r>
      <w:r w:rsidR="001151EC" w:rsidRPr="002B34F1">
        <w:rPr>
          <w:rFonts w:ascii="Times New Roman" w:hAnsi="Times New Roman" w:cs="Times New Roman"/>
          <w:b/>
          <w:i/>
          <w:sz w:val="24"/>
          <w:szCs w:val="24"/>
          <w:lang w:val="sr-Cyrl-BA"/>
        </w:rPr>
        <w:t>е</w:t>
      </w:r>
    </w:p>
    <w:p w14:paraId="6456E30A" w14:textId="77777777" w:rsidR="007961F0" w:rsidRPr="002B34F1" w:rsidRDefault="007961F0" w:rsidP="007961F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</w:p>
    <w:p w14:paraId="7450E872" w14:textId="77777777" w:rsidR="00A13902" w:rsidRPr="002B34F1" w:rsidRDefault="00A13902" w:rsidP="007961F0">
      <w:pPr>
        <w:pStyle w:val="BodyText"/>
        <w:jc w:val="both"/>
        <w:rPr>
          <w:sz w:val="24"/>
          <w:szCs w:val="24"/>
          <w:lang w:val="sr-Cyrl-BA"/>
        </w:rPr>
      </w:pPr>
      <w:r w:rsidRPr="002B34F1">
        <w:rPr>
          <w:sz w:val="24"/>
          <w:szCs w:val="24"/>
          <w:lang w:val="sr-Cyrl-BA"/>
        </w:rPr>
        <w:t>Расположиви макроекономски показатељи за првих пет мјесеци 2023. године на глобалном нивоу указују на успоравање привредних активности. Остварени БДП Републике Српске у првом кварталу 2023. године</w:t>
      </w:r>
      <w:r w:rsidR="007E38F0" w:rsidRPr="002B34F1">
        <w:rPr>
          <w:sz w:val="24"/>
          <w:szCs w:val="24"/>
          <w:lang w:val="sr-Cyrl-BA"/>
        </w:rPr>
        <w:t xml:space="preserve"> износи 3.331,</w:t>
      </w:r>
      <w:r w:rsidRPr="002B34F1">
        <w:rPr>
          <w:sz w:val="24"/>
          <w:szCs w:val="24"/>
          <w:lang w:val="sr-Cyrl-BA"/>
        </w:rPr>
        <w:t>8 милиона КМ, што је у односу на исти квартал претхо</w:t>
      </w:r>
      <w:r w:rsidR="00B309CD" w:rsidRPr="002B34F1">
        <w:rPr>
          <w:sz w:val="24"/>
          <w:szCs w:val="24"/>
          <w:lang w:val="sr-Cyrl-BA"/>
        </w:rPr>
        <w:t>дне године</w:t>
      </w:r>
      <w:r w:rsidR="007E38F0" w:rsidRPr="002B34F1">
        <w:rPr>
          <w:sz w:val="24"/>
          <w:szCs w:val="24"/>
          <w:lang w:val="sr-Cyrl-BA"/>
        </w:rPr>
        <w:t xml:space="preserve"> номинално више за 6,8%, а реално више за 0,</w:t>
      </w:r>
      <w:r w:rsidRPr="002B34F1">
        <w:rPr>
          <w:sz w:val="24"/>
          <w:szCs w:val="24"/>
          <w:lang w:val="sr-Cyrl-BA"/>
        </w:rPr>
        <w:t>9%. Највећи допринос расту дале су активност у подручју услуга (посебно финансијске дјелатности; информација и комуникација; стручне, научне и техничке дјелатности)</w:t>
      </w:r>
      <w:r w:rsidR="004E7C29" w:rsidRPr="002B34F1">
        <w:rPr>
          <w:sz w:val="24"/>
          <w:szCs w:val="24"/>
          <w:lang w:val="sr-Cyrl-BA"/>
        </w:rPr>
        <w:t xml:space="preserve"> и подручју грађевинарства. </w:t>
      </w:r>
      <w:r w:rsidRPr="002B34F1">
        <w:rPr>
          <w:sz w:val="24"/>
          <w:szCs w:val="24"/>
          <w:lang w:val="sr-Cyrl-BA"/>
        </w:rPr>
        <w:t>Такође</w:t>
      </w:r>
      <w:r w:rsidR="00B309CD" w:rsidRPr="002B34F1">
        <w:rPr>
          <w:sz w:val="24"/>
          <w:szCs w:val="24"/>
          <w:lang w:val="sr-Cyrl-BA"/>
        </w:rPr>
        <w:t>,</w:t>
      </w:r>
      <w:r w:rsidRPr="002B34F1">
        <w:rPr>
          <w:sz w:val="24"/>
          <w:szCs w:val="24"/>
          <w:lang w:val="sr-Cyrl-BA"/>
        </w:rPr>
        <w:t xml:space="preserve"> подручје пољопривреда, шумарство и риболов је након дужег времена остварило позитивну стопу раста. Активност</w:t>
      </w:r>
      <w:r w:rsidR="00B309CD" w:rsidRPr="002B34F1">
        <w:rPr>
          <w:sz w:val="24"/>
          <w:szCs w:val="24"/>
          <w:lang w:val="sr-Cyrl-BA"/>
        </w:rPr>
        <w:t>и</w:t>
      </w:r>
      <w:r w:rsidRPr="002B34F1">
        <w:rPr>
          <w:sz w:val="24"/>
          <w:szCs w:val="24"/>
          <w:lang w:val="sr-Cyrl-BA"/>
        </w:rPr>
        <w:t xml:space="preserve"> у групама подручја индустрија, трговина и пословање некретнинама оствариле </w:t>
      </w:r>
      <w:r w:rsidR="00B309CD" w:rsidRPr="002B34F1">
        <w:rPr>
          <w:sz w:val="24"/>
          <w:szCs w:val="24"/>
          <w:lang w:val="sr-Cyrl-BA"/>
        </w:rPr>
        <w:t xml:space="preserve">су </w:t>
      </w:r>
      <w:r w:rsidRPr="002B34F1">
        <w:rPr>
          <w:sz w:val="24"/>
          <w:szCs w:val="24"/>
          <w:lang w:val="sr-Cyrl-BA"/>
        </w:rPr>
        <w:t xml:space="preserve">негативне стопе раста и неутралисале раст укупне привредне активности. </w:t>
      </w:r>
    </w:p>
    <w:p w14:paraId="5EF25A3E" w14:textId="77777777" w:rsidR="00A13902" w:rsidRPr="002B34F1" w:rsidRDefault="00A13902" w:rsidP="007961F0">
      <w:pPr>
        <w:pStyle w:val="BodyText"/>
        <w:jc w:val="both"/>
        <w:rPr>
          <w:sz w:val="24"/>
          <w:szCs w:val="24"/>
          <w:lang w:val="sr-Cyrl-BA"/>
        </w:rPr>
      </w:pPr>
      <w:r w:rsidRPr="002B34F1">
        <w:rPr>
          <w:sz w:val="24"/>
          <w:szCs w:val="24"/>
          <w:lang w:val="sr-Cyrl-BA"/>
        </w:rPr>
        <w:t>У периоду јануар</w:t>
      </w:r>
      <w:r w:rsidR="00B309CD" w:rsidRPr="002B34F1">
        <w:rPr>
          <w:sz w:val="24"/>
          <w:szCs w:val="24"/>
          <w:lang w:val="sr-Cyrl-BA"/>
        </w:rPr>
        <w:t>–</w:t>
      </w:r>
      <w:r w:rsidRPr="002B34F1">
        <w:rPr>
          <w:sz w:val="24"/>
          <w:szCs w:val="24"/>
          <w:lang w:val="sr-Cyrl-BA"/>
        </w:rPr>
        <w:t xml:space="preserve">мај 2023. године, у поређењу са истим периодом претходне године, индустријска производња забиљежила је просјечно смањење од </w:t>
      </w:r>
      <w:r w:rsidR="006051DB" w:rsidRPr="002B34F1">
        <w:rPr>
          <w:sz w:val="24"/>
          <w:szCs w:val="24"/>
          <w:lang w:val="sr-Cyrl-BA"/>
        </w:rPr>
        <w:t>2,</w:t>
      </w:r>
      <w:r w:rsidRPr="002B34F1">
        <w:rPr>
          <w:sz w:val="24"/>
          <w:szCs w:val="24"/>
          <w:lang w:val="sr-Cyrl-BA"/>
        </w:rPr>
        <w:t xml:space="preserve">6%. Посматрано према класификацији дјелатности у наведеном периоду, у подручју </w:t>
      </w:r>
      <w:r w:rsidR="006632E6" w:rsidRPr="002B34F1">
        <w:rPr>
          <w:sz w:val="24"/>
          <w:szCs w:val="24"/>
          <w:lang w:val="sr-Cyrl-BA"/>
        </w:rPr>
        <w:t>Прерађивачка</w:t>
      </w:r>
      <w:r w:rsidRPr="002B34F1">
        <w:rPr>
          <w:sz w:val="24"/>
          <w:szCs w:val="24"/>
          <w:lang w:val="sr-Cyrl-BA"/>
        </w:rPr>
        <w:t xml:space="preserve"> </w:t>
      </w:r>
      <w:r w:rsidR="006632E6" w:rsidRPr="002B34F1">
        <w:rPr>
          <w:sz w:val="24"/>
          <w:szCs w:val="24"/>
          <w:lang w:val="sr-Cyrl-BA"/>
        </w:rPr>
        <w:t>индустрија</w:t>
      </w:r>
      <w:r w:rsidRPr="002B34F1">
        <w:rPr>
          <w:sz w:val="24"/>
          <w:szCs w:val="24"/>
          <w:lang w:val="sr-Cyrl-BA"/>
        </w:rPr>
        <w:t xml:space="preserve"> забиљежен је пад производње од 5%, у подручју </w:t>
      </w:r>
      <w:r w:rsidR="006632E6" w:rsidRPr="002B34F1">
        <w:rPr>
          <w:sz w:val="24"/>
          <w:szCs w:val="24"/>
          <w:lang w:val="sr-Cyrl-BA"/>
        </w:rPr>
        <w:t>Производња</w:t>
      </w:r>
      <w:r w:rsidRPr="002B34F1">
        <w:rPr>
          <w:sz w:val="24"/>
          <w:szCs w:val="24"/>
          <w:lang w:val="sr-Cyrl-BA"/>
        </w:rPr>
        <w:t xml:space="preserve"> и </w:t>
      </w:r>
      <w:r w:rsidR="006632E6" w:rsidRPr="002B34F1">
        <w:rPr>
          <w:sz w:val="24"/>
          <w:szCs w:val="24"/>
          <w:lang w:val="sr-Cyrl-BA"/>
        </w:rPr>
        <w:t>снабдијевање</w:t>
      </w:r>
      <w:r w:rsidRPr="002B34F1">
        <w:rPr>
          <w:sz w:val="24"/>
          <w:szCs w:val="24"/>
          <w:lang w:val="sr-Cyrl-BA"/>
        </w:rPr>
        <w:t xml:space="preserve"> електричном енергијом, гасом, паром и </w:t>
      </w:r>
      <w:r w:rsidR="006632E6" w:rsidRPr="002B34F1">
        <w:rPr>
          <w:sz w:val="24"/>
          <w:szCs w:val="24"/>
          <w:lang w:val="sr-Cyrl-BA"/>
        </w:rPr>
        <w:t>климатизација</w:t>
      </w:r>
      <w:r w:rsidRPr="002B34F1">
        <w:rPr>
          <w:sz w:val="24"/>
          <w:szCs w:val="24"/>
          <w:lang w:val="sr-Cyrl-BA"/>
        </w:rPr>
        <w:t xml:space="preserve"> производња је остала непромијењена, док је у</w:t>
      </w:r>
      <w:r w:rsidR="00534C5A" w:rsidRPr="002B34F1">
        <w:rPr>
          <w:sz w:val="24"/>
          <w:szCs w:val="24"/>
          <w:lang w:val="sr-Cyrl-BA"/>
        </w:rPr>
        <w:t xml:space="preserve"> </w:t>
      </w:r>
      <w:r w:rsidRPr="002B34F1">
        <w:rPr>
          <w:sz w:val="24"/>
          <w:szCs w:val="24"/>
          <w:lang w:val="sr-Cyrl-BA"/>
        </w:rPr>
        <w:t xml:space="preserve">подручју </w:t>
      </w:r>
      <w:r w:rsidR="006632E6" w:rsidRPr="002B34F1">
        <w:rPr>
          <w:sz w:val="24"/>
          <w:szCs w:val="24"/>
          <w:lang w:val="sr-Cyrl-BA"/>
        </w:rPr>
        <w:t>Вађење</w:t>
      </w:r>
      <w:r w:rsidRPr="002B34F1">
        <w:rPr>
          <w:sz w:val="24"/>
          <w:szCs w:val="24"/>
          <w:lang w:val="sr-Cyrl-BA"/>
        </w:rPr>
        <w:t xml:space="preserve"> руда и камена </w:t>
      </w:r>
      <w:r w:rsidR="006051DB" w:rsidRPr="002B34F1">
        <w:rPr>
          <w:sz w:val="24"/>
          <w:szCs w:val="24"/>
          <w:lang w:val="sr-Cyrl-BA"/>
        </w:rPr>
        <w:t>производња забиљежила раст од 2,</w:t>
      </w:r>
      <w:r w:rsidRPr="002B34F1">
        <w:rPr>
          <w:sz w:val="24"/>
          <w:szCs w:val="24"/>
          <w:lang w:val="sr-Cyrl-BA"/>
        </w:rPr>
        <w:t xml:space="preserve">1%. </w:t>
      </w:r>
      <w:r w:rsidR="00B309CD" w:rsidRPr="002B34F1">
        <w:rPr>
          <w:sz w:val="24"/>
          <w:szCs w:val="24"/>
          <w:lang w:val="sr-Cyrl-BA"/>
        </w:rPr>
        <w:t>У истом периоду</w:t>
      </w:r>
      <w:r w:rsidRPr="002B34F1">
        <w:rPr>
          <w:sz w:val="24"/>
          <w:szCs w:val="24"/>
          <w:lang w:val="sr-Cyrl-BA"/>
        </w:rPr>
        <w:t xml:space="preserve"> забиљежено је смањење броја запослених у индустрији за</w:t>
      </w:r>
      <w:r w:rsidR="00B309CD" w:rsidRPr="002B34F1">
        <w:rPr>
          <w:sz w:val="24"/>
          <w:szCs w:val="24"/>
          <w:lang w:val="sr-Cyrl-BA"/>
        </w:rPr>
        <w:t xml:space="preserve"> 1</w:t>
      </w:r>
      <w:r w:rsidRPr="002B34F1">
        <w:rPr>
          <w:sz w:val="24"/>
          <w:szCs w:val="24"/>
          <w:lang w:val="sr-Cyrl-BA"/>
        </w:rPr>
        <w:t xml:space="preserve">%. Промет индустрије за првих пет мјесеци 2023. године већи је за </w:t>
      </w:r>
      <w:r w:rsidR="006051DB" w:rsidRPr="002B34F1">
        <w:rPr>
          <w:sz w:val="24"/>
          <w:szCs w:val="24"/>
          <w:lang w:val="sr-Cyrl-BA"/>
        </w:rPr>
        <w:t>0,</w:t>
      </w:r>
      <w:r w:rsidRPr="002B34F1">
        <w:rPr>
          <w:sz w:val="24"/>
          <w:szCs w:val="24"/>
          <w:lang w:val="sr-Cyrl-BA"/>
        </w:rPr>
        <w:t xml:space="preserve">2% у односу на исти период претходне године, при чему је највећа стопа раста забиљежена у подручју Енергија. Посматрано по тржиштима, промет на домаћем тржишту већи је за </w:t>
      </w:r>
      <w:r w:rsidR="006051DB" w:rsidRPr="002B34F1">
        <w:rPr>
          <w:sz w:val="24"/>
          <w:szCs w:val="24"/>
          <w:lang w:val="sr-Cyrl-BA"/>
        </w:rPr>
        <w:t>4,</w:t>
      </w:r>
      <w:r w:rsidRPr="002B34F1">
        <w:rPr>
          <w:sz w:val="24"/>
          <w:szCs w:val="24"/>
          <w:lang w:val="sr-Cyrl-BA"/>
        </w:rPr>
        <w:t>1%, док је промет на иностраном</w:t>
      </w:r>
      <w:r w:rsidR="00534C5A" w:rsidRPr="002B34F1">
        <w:rPr>
          <w:sz w:val="24"/>
          <w:szCs w:val="24"/>
          <w:lang w:val="sr-Cyrl-BA"/>
        </w:rPr>
        <w:t xml:space="preserve"> </w:t>
      </w:r>
      <w:r w:rsidRPr="002B34F1">
        <w:rPr>
          <w:sz w:val="24"/>
          <w:szCs w:val="24"/>
          <w:lang w:val="sr-Cyrl-BA"/>
        </w:rPr>
        <w:t xml:space="preserve">тржишту мањи за </w:t>
      </w:r>
      <w:r w:rsidR="006051DB" w:rsidRPr="002B34F1">
        <w:rPr>
          <w:sz w:val="24"/>
          <w:szCs w:val="24"/>
          <w:lang w:val="sr-Cyrl-BA"/>
        </w:rPr>
        <w:t>3,</w:t>
      </w:r>
      <w:r w:rsidRPr="002B34F1">
        <w:rPr>
          <w:sz w:val="24"/>
          <w:szCs w:val="24"/>
          <w:lang w:val="sr-Cyrl-BA"/>
        </w:rPr>
        <w:t xml:space="preserve">1%. </w:t>
      </w:r>
    </w:p>
    <w:p w14:paraId="127CEE0B" w14:textId="77777777" w:rsidR="00A13902" w:rsidRPr="002B34F1" w:rsidRDefault="00A13902" w:rsidP="007961F0">
      <w:pPr>
        <w:pStyle w:val="BodyText"/>
        <w:jc w:val="both"/>
        <w:rPr>
          <w:sz w:val="24"/>
          <w:szCs w:val="24"/>
          <w:lang w:val="sr-Cyrl-BA"/>
        </w:rPr>
      </w:pPr>
      <w:r w:rsidRPr="002B34F1">
        <w:rPr>
          <w:sz w:val="24"/>
          <w:szCs w:val="24"/>
          <w:lang w:val="sr-Cyrl-BA"/>
        </w:rPr>
        <w:t>У периоду јануар</w:t>
      </w:r>
      <w:r w:rsidR="00B309CD" w:rsidRPr="002B34F1">
        <w:rPr>
          <w:sz w:val="24"/>
          <w:szCs w:val="24"/>
          <w:lang w:val="sr-Cyrl-BA"/>
        </w:rPr>
        <w:t>–</w:t>
      </w:r>
      <w:r w:rsidRPr="002B34F1">
        <w:rPr>
          <w:sz w:val="24"/>
          <w:szCs w:val="24"/>
          <w:lang w:val="sr-Cyrl-BA"/>
        </w:rPr>
        <w:t xml:space="preserve">мај 2023. године, у поређењу са истим периодом претходне године, цијене су просјечно више за </w:t>
      </w:r>
      <w:r w:rsidR="005B1194" w:rsidRPr="002B34F1">
        <w:rPr>
          <w:sz w:val="24"/>
          <w:szCs w:val="24"/>
          <w:lang w:val="sr-Cyrl-BA"/>
        </w:rPr>
        <w:t>10,</w:t>
      </w:r>
      <w:r w:rsidRPr="002B34F1">
        <w:rPr>
          <w:sz w:val="24"/>
          <w:szCs w:val="24"/>
          <w:lang w:val="sr-Cyrl-BA"/>
        </w:rPr>
        <w:t>5%. Инфлација је у посматраном периоду 2023. године и даље повишена, те ће се постепено смањивати током године, као посљедица енергетских базних учинака и попуштања притисака произвођачких трошкова. Наиме,</w:t>
      </w:r>
      <w:r w:rsidR="00EE0EB5" w:rsidRPr="002B34F1">
        <w:rPr>
          <w:sz w:val="24"/>
          <w:szCs w:val="24"/>
          <w:lang w:val="sr-Cyrl-BA"/>
        </w:rPr>
        <w:t xml:space="preserve"> </w:t>
      </w:r>
      <w:r w:rsidRPr="002B34F1">
        <w:rPr>
          <w:sz w:val="24"/>
          <w:szCs w:val="24"/>
          <w:lang w:val="sr-Cyrl-BA"/>
        </w:rPr>
        <w:t>тржишна очекивања, претпоставке нижих цијена нафте, допринијеће нижим стопама раста инфлације током 2023. године. Очекује се да ће просјечне потрошачке цијене у Републици Српској у 2023. години порасти за 7%, док ће у 2024, 2025.</w:t>
      </w:r>
      <w:r w:rsidR="005B1194" w:rsidRPr="002B34F1">
        <w:rPr>
          <w:sz w:val="24"/>
          <w:szCs w:val="24"/>
          <w:lang w:val="sr-Cyrl-BA"/>
        </w:rPr>
        <w:t xml:space="preserve"> и 2026. години порасти за 3,</w:t>
      </w:r>
      <w:r w:rsidRPr="002B34F1">
        <w:rPr>
          <w:sz w:val="24"/>
          <w:szCs w:val="24"/>
          <w:lang w:val="sr-Cyrl-BA"/>
        </w:rPr>
        <w:t>5%</w:t>
      </w:r>
      <w:r w:rsidR="005B1194" w:rsidRPr="002B34F1">
        <w:rPr>
          <w:sz w:val="24"/>
          <w:szCs w:val="24"/>
          <w:lang w:val="sr-Cyrl-BA"/>
        </w:rPr>
        <w:t>, 2,</w:t>
      </w:r>
      <w:r w:rsidRPr="002B34F1">
        <w:rPr>
          <w:sz w:val="24"/>
          <w:szCs w:val="24"/>
          <w:lang w:val="sr-Cyrl-BA"/>
        </w:rPr>
        <w:t>2% и</w:t>
      </w:r>
      <w:r w:rsidR="005B1194" w:rsidRPr="002B34F1">
        <w:rPr>
          <w:sz w:val="24"/>
          <w:szCs w:val="24"/>
          <w:lang w:val="sr-Cyrl-BA"/>
        </w:rPr>
        <w:t xml:space="preserve"> 1,</w:t>
      </w:r>
      <w:r w:rsidRPr="002B34F1">
        <w:rPr>
          <w:sz w:val="24"/>
          <w:szCs w:val="24"/>
          <w:lang w:val="sr-Cyrl-BA"/>
        </w:rPr>
        <w:t>8%, респективно.</w:t>
      </w:r>
    </w:p>
    <w:p w14:paraId="5DC4D697" w14:textId="77777777" w:rsidR="00A13902" w:rsidRPr="002B34F1" w:rsidRDefault="006632E6" w:rsidP="00796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>У истом периоду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биљежи се благо смањење вриједности спољнотрговинске размјене, при чему су извоз и увоз у односу на исти период претходне године били номинално</w:t>
      </w:r>
      <w:r w:rsidR="00EA3ABC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>мањи</w:t>
      </w:r>
      <w:r w:rsidR="00EA3ABC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76D98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за 0,9% </w:t>
      </w:r>
      <w:r w:rsidR="00313221" w:rsidRPr="002B34F1">
        <w:rPr>
          <w:rFonts w:ascii="Times New Roman" w:hAnsi="Times New Roman" w:cs="Times New Roman"/>
          <w:sz w:val="24"/>
          <w:szCs w:val="24"/>
          <w:lang w:val="sr-Cyrl-BA"/>
        </w:rPr>
        <w:t>и 0,</w:t>
      </w:r>
      <w:r w:rsidR="00176D98" w:rsidRPr="002B34F1">
        <w:rPr>
          <w:rFonts w:ascii="Times New Roman" w:hAnsi="Times New Roman" w:cs="Times New Roman"/>
          <w:sz w:val="24"/>
          <w:szCs w:val="24"/>
          <w:lang w:val="sr-Cyrl-BA"/>
        </w:rPr>
        <w:t>1%,</w:t>
      </w:r>
      <w:r w:rsidR="00AC64A1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76D98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респективно. 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На мјесечном нивоу спољнотрговинска размјена 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углавном има опадајући тренд, што се може посматрати као ефекат смањења спољне тражње под утицајем смањења привредне активности у окружењу. У посматраном периоду забиљежено је смањење обима</w:t>
      </w:r>
      <w:r w:rsidR="00313221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спољнотрговинске размјене за 0,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4%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у односу на исти период 2022. године. Покривеност увоза извозом износила је 80%, док је спољнотрг</w:t>
      </w:r>
      <w:r w:rsidR="00313221" w:rsidRPr="002B34F1">
        <w:rPr>
          <w:rFonts w:ascii="Times New Roman" w:hAnsi="Times New Roman" w:cs="Times New Roman"/>
          <w:sz w:val="24"/>
          <w:szCs w:val="24"/>
          <w:lang w:val="sr-Cyrl-BA"/>
        </w:rPr>
        <w:t>овински дефицит износио 557,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>5 мил. КМ.</w:t>
      </w:r>
      <w:r w:rsidR="00534C5A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Процјењује се да ће извоз роба у 2023. години бити </w:t>
      </w:r>
      <w:r w:rsidR="00DD32BD" w:rsidRPr="002B34F1">
        <w:rPr>
          <w:rFonts w:ascii="Times New Roman" w:hAnsi="Times New Roman" w:cs="Times New Roman"/>
          <w:sz w:val="24"/>
          <w:szCs w:val="24"/>
          <w:lang w:val="sr-Cyrl-BA"/>
        </w:rPr>
        <w:t>номинално већи за 4,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>3%, док се у периоду 2024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–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2026. година очекује </w:t>
      </w:r>
      <w:r w:rsidR="00DD32BD" w:rsidRPr="002B34F1">
        <w:rPr>
          <w:rFonts w:ascii="Times New Roman" w:hAnsi="Times New Roman" w:cs="Times New Roman"/>
          <w:sz w:val="24"/>
          <w:szCs w:val="24"/>
          <w:lang w:val="sr-Cyrl-BA"/>
        </w:rPr>
        <w:t>наставак раста извоза роба од 8,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>8%</w:t>
      </w:r>
      <w:r w:rsidR="00DD32BD" w:rsidRPr="002B34F1">
        <w:rPr>
          <w:rFonts w:ascii="Times New Roman" w:hAnsi="Times New Roman" w:cs="Times New Roman"/>
          <w:sz w:val="24"/>
          <w:szCs w:val="24"/>
          <w:lang w:val="sr-Cyrl-BA"/>
        </w:rPr>
        <w:t>, 9,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>3% и</w:t>
      </w:r>
      <w:r w:rsidR="00DD32BD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9,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3%, респективно. Истовремено, процјена је да ће увоз роба у 2023. години номинално расти за 2%, док су за период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2024–2026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>. годин</w:t>
      </w:r>
      <w:r w:rsidR="001151EC" w:rsidRPr="002B34F1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прој</w:t>
      </w:r>
      <w:r w:rsidR="00DD32BD" w:rsidRPr="002B34F1">
        <w:rPr>
          <w:rFonts w:ascii="Times New Roman" w:hAnsi="Times New Roman" w:cs="Times New Roman"/>
          <w:sz w:val="24"/>
          <w:szCs w:val="24"/>
          <w:lang w:val="sr-Cyrl-BA"/>
        </w:rPr>
        <w:t>ектоване стопе раста увоза од 8,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>3%</w:t>
      </w:r>
      <w:r w:rsidR="00DD32BD" w:rsidRPr="002B34F1">
        <w:rPr>
          <w:rFonts w:ascii="Times New Roman" w:hAnsi="Times New Roman" w:cs="Times New Roman"/>
          <w:sz w:val="24"/>
          <w:szCs w:val="24"/>
          <w:lang w:val="sr-Cyrl-BA"/>
        </w:rPr>
        <w:t>, 6,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>8%</w:t>
      </w:r>
      <w:r w:rsidR="00DD32BD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и 7,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>5%, респективно. Већи раст извоза у односу на увоз роба требао би у средњем року довести до стабилизације спољнотрговинског биланса, при чему би учешће спољнотрговинског дефицита у БДП-у требало износити 10</w:t>
      </w:r>
      <w:r w:rsidR="000A6CCD" w:rsidRPr="002B34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2% у 2026. години. Просјечан број незапослених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у периоду јануар–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мај 2023. године износио је </w:t>
      </w:r>
      <w:r w:rsidR="00FD2D2F" w:rsidRPr="002B34F1">
        <w:rPr>
          <w:rFonts w:ascii="Times New Roman" w:hAnsi="Times New Roman" w:cs="Times New Roman"/>
          <w:sz w:val="24"/>
          <w:szCs w:val="24"/>
          <w:lang w:val="sr-Cyrl-BA"/>
        </w:rPr>
        <w:t>62.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743 лица, што је за </w:t>
      </w:r>
      <w:r w:rsidR="00FD2D2F" w:rsidRPr="002B34F1">
        <w:rPr>
          <w:rFonts w:ascii="Times New Roman" w:hAnsi="Times New Roman" w:cs="Times New Roman"/>
          <w:sz w:val="24"/>
          <w:szCs w:val="24"/>
          <w:lang w:val="sr-Cyrl-BA"/>
        </w:rPr>
        <w:t>10,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>9%</w:t>
      </w:r>
      <w:r w:rsidR="00534C5A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мање у односу на исти период претходне године када је било </w:t>
      </w:r>
      <w:r w:rsidR="00FD2D2F" w:rsidRPr="002B34F1">
        <w:rPr>
          <w:rFonts w:ascii="Times New Roman" w:hAnsi="Times New Roman" w:cs="Times New Roman"/>
          <w:sz w:val="24"/>
          <w:szCs w:val="24"/>
          <w:lang w:val="sr-Cyrl-BA"/>
        </w:rPr>
        <w:t>70.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425 незапослених. Број лица брисаних са евиденције Завода ради запослења износи </w:t>
      </w:r>
      <w:r w:rsidR="00FD2D2F" w:rsidRPr="002B34F1">
        <w:rPr>
          <w:rFonts w:ascii="Times New Roman" w:hAnsi="Times New Roman" w:cs="Times New Roman"/>
          <w:sz w:val="24"/>
          <w:szCs w:val="24"/>
          <w:lang w:val="sr-Cyrl-BA"/>
        </w:rPr>
        <w:t>9.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165 лица и мањи је за </w:t>
      </w:r>
      <w:r w:rsidR="00FD2D2F" w:rsidRPr="002B34F1">
        <w:rPr>
          <w:rFonts w:ascii="Times New Roman" w:hAnsi="Times New Roman" w:cs="Times New Roman"/>
          <w:sz w:val="24"/>
          <w:szCs w:val="24"/>
          <w:lang w:val="sr-Cyrl-BA"/>
        </w:rPr>
        <w:t>12,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5 % у односу на исти период 2022. године. Када је у питању стопа незапослености, пројектоване стопе се крећу од </w:t>
      </w:r>
      <w:r w:rsidR="00A1057B" w:rsidRPr="002B34F1">
        <w:rPr>
          <w:rFonts w:ascii="Times New Roman" w:hAnsi="Times New Roman" w:cs="Times New Roman"/>
          <w:sz w:val="24"/>
          <w:szCs w:val="24"/>
          <w:lang w:val="sr-Cyrl-BA"/>
        </w:rPr>
        <w:t>9,5% за 2024. годину до 8,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8% у 2026. години.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Иако у вријеме израде документа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није објављен податак о броју запослених</w:t>
      </w:r>
      <w:r w:rsidR="00A13902" w:rsidRPr="002B34F1">
        <w:rPr>
          <w:rFonts w:ascii="Times New Roman" w:hAnsi="Times New Roman" w:cs="Times New Roman"/>
          <w:sz w:val="24"/>
          <w:szCs w:val="24"/>
          <w:vertAlign w:val="superscript"/>
          <w:lang w:val="sr-Cyrl-BA"/>
        </w:rPr>
        <w:footnoteReference w:id="8"/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закључно са мартом 2023. године, уз наставак тренда смањења броја незапослених очекује се повећање броја</w:t>
      </w:r>
      <w:r w:rsidR="00534C5A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запослених и наставак тренда који је започет. За период јануар–мај 2023. године просјечна нето плата износи </w:t>
      </w:r>
      <w:r w:rsidR="00A1057B" w:rsidRPr="002B34F1">
        <w:rPr>
          <w:rFonts w:ascii="Times New Roman" w:hAnsi="Times New Roman" w:cs="Times New Roman"/>
          <w:sz w:val="24"/>
          <w:szCs w:val="24"/>
          <w:lang w:val="sr-Cyrl-BA"/>
        </w:rPr>
        <w:t>1.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255 КМ, што представља номинални раст од </w:t>
      </w:r>
      <w:r w:rsidR="00A1057B" w:rsidRPr="002B34F1">
        <w:rPr>
          <w:rFonts w:ascii="Times New Roman" w:hAnsi="Times New Roman" w:cs="Times New Roman"/>
          <w:sz w:val="24"/>
          <w:szCs w:val="24"/>
          <w:lang w:val="sr-Cyrl-BA"/>
        </w:rPr>
        <w:t>15,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>7% у односу на исти период претходне године. За наредни период</w:t>
      </w:r>
      <w:r w:rsidR="00534C5A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очекује се благи раст плата, тако да ће се нето плата кретати у распону од </w:t>
      </w:r>
      <w:r w:rsidR="00A1057B" w:rsidRPr="002B34F1">
        <w:rPr>
          <w:rFonts w:ascii="Times New Roman" w:hAnsi="Times New Roman" w:cs="Times New Roman"/>
          <w:sz w:val="24"/>
          <w:szCs w:val="24"/>
          <w:lang w:val="sr-Cyrl-BA"/>
        </w:rPr>
        <w:t>1.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>341 КМ у 2024</w:t>
      </w:r>
      <w:r w:rsidR="00A1057B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години </w:t>
      </w:r>
      <w:r w:rsidR="00A1057B" w:rsidRPr="002B34F1">
        <w:rPr>
          <w:rFonts w:ascii="Times New Roman" w:hAnsi="Times New Roman" w:cs="Times New Roman"/>
          <w:sz w:val="24"/>
          <w:szCs w:val="24"/>
          <w:lang w:val="sr-Cyrl-BA"/>
        </w:rPr>
        <w:t>до 1.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>443 КМ у 2026. години. Тренд раста пензија се наставља и у 2023. години када је за првих пет мјесеци</w:t>
      </w:r>
      <w:r w:rsidR="00534C5A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>исплаћена просјечна пензија у износу од 540 КМ</w:t>
      </w:r>
      <w:r w:rsidR="00534C5A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и у односу на исти период претходне године номинално је већа за </w:t>
      </w:r>
      <w:r w:rsidR="00A1057B" w:rsidRPr="002B34F1">
        <w:rPr>
          <w:rFonts w:ascii="Times New Roman" w:hAnsi="Times New Roman" w:cs="Times New Roman"/>
          <w:sz w:val="24"/>
          <w:szCs w:val="24"/>
          <w:lang w:val="sr-Cyrl-BA"/>
        </w:rPr>
        <w:t>22,</w:t>
      </w:r>
      <w:r w:rsidR="00A13902" w:rsidRPr="002B34F1">
        <w:rPr>
          <w:rFonts w:ascii="Times New Roman" w:hAnsi="Times New Roman" w:cs="Times New Roman"/>
          <w:sz w:val="24"/>
          <w:szCs w:val="24"/>
          <w:lang w:val="sr-Cyrl-BA"/>
        </w:rPr>
        <w:t>7%.</w:t>
      </w:r>
    </w:p>
    <w:p w14:paraId="63693A57" w14:textId="77777777" w:rsidR="00A13902" w:rsidRPr="002B34F1" w:rsidRDefault="00A13902" w:rsidP="00796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hAnsi="Times New Roman" w:cs="Times New Roman"/>
          <w:sz w:val="24"/>
          <w:szCs w:val="24"/>
          <w:lang w:val="sr-Cyrl-BA"/>
        </w:rPr>
        <w:t>Уважавајући повећане екстерне ризике у виду привредних кретања у окружењу, дуготрајне инфлаторне притиске и високу основицу из претходне године, проц</w:t>
      </w:r>
      <w:r w:rsidR="006632E6" w:rsidRPr="002B34F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јењена стопа раста</w:t>
      </w:r>
      <w:r w:rsidR="00534C5A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БДП-а Републике Српске за 2023. годину износи 2</w:t>
      </w:r>
      <w:r w:rsidR="00376735" w:rsidRPr="002B34F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1%. Пројектоване стопе привредног раста у пер</w:t>
      </w:r>
      <w:r w:rsidR="00376735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иоду </w:t>
      </w:r>
      <w:r w:rsidR="006632E6" w:rsidRPr="002B34F1">
        <w:rPr>
          <w:rFonts w:ascii="Times New Roman" w:hAnsi="Times New Roman" w:cs="Times New Roman"/>
          <w:sz w:val="24"/>
          <w:szCs w:val="24"/>
          <w:lang w:val="sr-Cyrl-BA"/>
        </w:rPr>
        <w:t>2024–2026. година износе 3</w:t>
      </w:r>
      <w:r w:rsidR="00376735" w:rsidRPr="002B34F1">
        <w:rPr>
          <w:rFonts w:ascii="Times New Roman" w:hAnsi="Times New Roman" w:cs="Times New Roman"/>
          <w:sz w:val="24"/>
          <w:szCs w:val="24"/>
          <w:lang w:val="sr-Cyrl-BA"/>
        </w:rPr>
        <w:t>%, 3,2% и 3,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>5% респективно, а остварење проје</w:t>
      </w:r>
      <w:r w:rsidR="006632E6"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кција у условима неизвјесности </w:t>
      </w:r>
      <w:r w:rsidRPr="002B34F1">
        <w:rPr>
          <w:rFonts w:ascii="Times New Roman" w:hAnsi="Times New Roman" w:cs="Times New Roman"/>
          <w:sz w:val="24"/>
          <w:szCs w:val="24"/>
          <w:lang w:val="sr-Cyrl-BA"/>
        </w:rPr>
        <w:t xml:space="preserve">подложно је углавном спољним ризицима. Ипак, очекује се даљи опоравак привредне активности вођен домаћом тражњом, уз позитиван допринос потрошње и инвестиција. Према пројекцијама, стабилност на тржишту рада уз благи раст броја запослених и повећање плата допринијеће одржавању домаће потрошње, чији ће раст ипак бити мањи од укупног раста БДП-а. Такође, реализација најављених инвестиција у енергетске пројекте, путну инфраструктуру, здравство и пољопривреду позитивно ће утицати на раст. </w:t>
      </w:r>
    </w:p>
    <w:p w14:paraId="56F0137D" w14:textId="77777777" w:rsidR="00E86212" w:rsidRPr="002B34F1" w:rsidRDefault="00E86212" w:rsidP="0014735D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sr-Cyrl-BA"/>
        </w:rPr>
      </w:pPr>
    </w:p>
    <w:p w14:paraId="5328943A" w14:textId="77777777" w:rsidR="0014735D" w:rsidRPr="002B34F1" w:rsidRDefault="0014735D" w:rsidP="007961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  <w:r w:rsidRPr="002B34F1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МЈЕРЕ И РОКОВИ</w:t>
      </w:r>
    </w:p>
    <w:p w14:paraId="56CB4B89" w14:textId="77777777" w:rsidR="007961F0" w:rsidRPr="002B34F1" w:rsidRDefault="007961F0" w:rsidP="007961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14:paraId="501DB823" w14:textId="77777777" w:rsidR="0014735D" w:rsidRPr="002B34F1" w:rsidRDefault="0014735D" w:rsidP="007961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У наредном периоду потребно је да Влада Републике Српске предузме мјере које ће с једне стране довести до раста прихода, а с друге стране утицати на смањење расхода, </w:t>
      </w:r>
      <w:r w:rsidR="00781F32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да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би се постепено успоставило поштовање фискалног правила везаног за консолидовани буџетски дефицит. Према постојећим плановима, </w:t>
      </w:r>
      <w:r w:rsidR="00B712F6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стопа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раста укупних прихода на нивоу буџетског система Републике Српске је 4,5% у 2024. години у односу на претходну годину, док су стопе раста у 2025. и 2026. години у однос</w:t>
      </w:r>
      <w:r w:rsidR="006632E6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у на претходну годину 4,9% и 4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%, респективно. С друге стране, укупна потрошња расте по нижим стопа</w:t>
      </w:r>
      <w:r w:rsidR="007C5F1C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ма, које износе 2,1%, 3,3% и 3,6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% у периоду </w:t>
      </w:r>
      <w:r w:rsidR="006632E6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2024–2026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. година.</w:t>
      </w:r>
      <w:r w:rsidR="00534C5A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</w:p>
    <w:p w14:paraId="1F2DE9BD" w14:textId="77777777" w:rsidR="007961F0" w:rsidRPr="002B34F1" w:rsidRDefault="007961F0" w:rsidP="007961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3F6CB507" w14:textId="77777777" w:rsidR="0014735D" w:rsidRPr="002B34F1" w:rsidRDefault="0014735D" w:rsidP="007961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Препоручене мјере за повратак консолидованог буџетског дефицита у оквире правила која су прописана Законом о фискалној одговорности у Републици Српској за ниво Републике</w:t>
      </w:r>
      <w:r w:rsidR="00417B71" w:rsidRPr="002B34F1">
        <w:rPr>
          <w:rFonts w:ascii="Times New Roman" w:hAnsi="Times New Roman" w:cs="Times New Roman"/>
        </w:rPr>
        <w:t xml:space="preserve"> </w:t>
      </w:r>
      <w:r w:rsidR="00417B71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Српске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, нивое јединица локалне самоуправе и фондова соција</w:t>
      </w:r>
      <w:r w:rsidR="006632E6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лне сигурности у периоду 2024–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2026. година су:</w:t>
      </w:r>
    </w:p>
    <w:p w14:paraId="48699E51" w14:textId="77777777" w:rsidR="007961F0" w:rsidRPr="002B34F1" w:rsidRDefault="007961F0" w:rsidP="007961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16EB5BED" w14:textId="77777777" w:rsidR="0014735D" w:rsidRPr="002B34F1" w:rsidRDefault="0014735D" w:rsidP="007961F0">
      <w:pPr>
        <w:pStyle w:val="ListParagraph"/>
        <w:numPr>
          <w:ilvl w:val="0"/>
          <w:numId w:val="39"/>
        </w:numPr>
        <w:tabs>
          <w:tab w:val="left" w:pos="284"/>
        </w:tabs>
        <w:spacing w:before="0" w:after="0"/>
        <w:ind w:left="0" w:firstLine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B34F1">
        <w:rPr>
          <w:rFonts w:ascii="Times New Roman" w:hAnsi="Times New Roman"/>
          <w:sz w:val="24"/>
          <w:szCs w:val="24"/>
          <w:lang w:val="sr-Cyrl-BA"/>
        </w:rPr>
        <w:t xml:space="preserve">С обзиром </w:t>
      </w:r>
      <w:r w:rsidR="006632E6" w:rsidRPr="002B34F1">
        <w:rPr>
          <w:rFonts w:ascii="Times New Roman" w:hAnsi="Times New Roman"/>
          <w:sz w:val="24"/>
          <w:szCs w:val="24"/>
          <w:lang w:val="sr-Cyrl-BA"/>
        </w:rPr>
        <w:t xml:space="preserve">на то 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да се у наредном периоду очекује даљи опоравак привредне активности вођен домаћом тражњом, уз позитиван допринос потрошње и инвестиција, може се очекивати и постепени раст прихода. Такође, потребно је додатно убрзати активности везане за побољшање </w:t>
      </w:r>
      <w:r w:rsidRPr="002B34F1">
        <w:rPr>
          <w:rFonts w:ascii="Times New Roman" w:hAnsi="Times New Roman"/>
          <w:b/>
          <w:sz w:val="24"/>
          <w:szCs w:val="24"/>
          <w:lang w:val="sr-Cyrl-BA"/>
        </w:rPr>
        <w:t>пореске дисциплине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 и </w:t>
      </w:r>
      <w:r w:rsidRPr="002B34F1">
        <w:rPr>
          <w:rFonts w:ascii="Times New Roman" w:hAnsi="Times New Roman"/>
          <w:b/>
          <w:sz w:val="24"/>
          <w:szCs w:val="24"/>
          <w:lang w:val="sr-Cyrl-BA"/>
        </w:rPr>
        <w:t>сузбијање сиве економије</w:t>
      </w:r>
      <w:r w:rsidRPr="002B34F1">
        <w:rPr>
          <w:rFonts w:ascii="Times New Roman" w:hAnsi="Times New Roman"/>
          <w:sz w:val="24"/>
          <w:szCs w:val="24"/>
          <w:lang w:val="sr-Cyrl-BA"/>
        </w:rPr>
        <w:t>, што ће довести до боље наплате јавних прихода.</w:t>
      </w:r>
    </w:p>
    <w:p w14:paraId="5E32460C" w14:textId="77777777" w:rsidR="007961F0" w:rsidRPr="002B34F1" w:rsidRDefault="007961F0" w:rsidP="007961F0">
      <w:pPr>
        <w:pStyle w:val="ListParagraph"/>
        <w:tabs>
          <w:tab w:val="left" w:pos="284"/>
        </w:tabs>
        <w:spacing w:before="0" w:after="0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49B627FB" w14:textId="77777777" w:rsidR="0014735D" w:rsidRPr="002B34F1" w:rsidRDefault="0014735D" w:rsidP="007961F0">
      <w:pPr>
        <w:pStyle w:val="ListParagraph"/>
        <w:numPr>
          <w:ilvl w:val="0"/>
          <w:numId w:val="39"/>
        </w:numPr>
        <w:tabs>
          <w:tab w:val="left" w:pos="284"/>
        </w:tabs>
        <w:spacing w:before="0" w:after="0"/>
        <w:ind w:left="0" w:firstLine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B34F1">
        <w:rPr>
          <w:rFonts w:ascii="Times New Roman" w:hAnsi="Times New Roman"/>
          <w:sz w:val="24"/>
          <w:szCs w:val="24"/>
          <w:lang w:val="sr-Cyrl-BA"/>
        </w:rPr>
        <w:t xml:space="preserve">У наредном периоду планиране су измјене у оквиру </w:t>
      </w:r>
      <w:r w:rsidRPr="002B34F1">
        <w:rPr>
          <w:rFonts w:ascii="Times New Roman" w:hAnsi="Times New Roman"/>
          <w:b/>
          <w:sz w:val="24"/>
          <w:szCs w:val="24"/>
          <w:lang w:val="sr-Cyrl-BA"/>
        </w:rPr>
        <w:t>опорезивања дохотка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 физичких лица, како би се извршила прерасподјела и дошло до додатног повећања плата. Такође, планирано је проширење пореске основице пореза на доходак на накнаде које тренутно нису предмет опорезивања. Посебан акценат се ставља на опорезивањ</w:t>
      </w:r>
      <w:r w:rsidR="007961F0" w:rsidRPr="002B34F1">
        <w:rPr>
          <w:rFonts w:ascii="Times New Roman" w:hAnsi="Times New Roman"/>
          <w:sz w:val="24"/>
          <w:szCs w:val="24"/>
          <w:lang w:val="sr-Cyrl-BA"/>
        </w:rPr>
        <w:t>е прихода од удјела у капиталу.</w:t>
      </w:r>
    </w:p>
    <w:p w14:paraId="6C28980E" w14:textId="77777777" w:rsidR="007961F0" w:rsidRPr="002B34F1" w:rsidRDefault="007961F0" w:rsidP="007961F0">
      <w:pPr>
        <w:pStyle w:val="ListParagraph"/>
        <w:tabs>
          <w:tab w:val="left" w:pos="284"/>
        </w:tabs>
        <w:spacing w:before="0" w:after="0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6C5E430D" w14:textId="77777777" w:rsidR="0014735D" w:rsidRPr="002B34F1" w:rsidRDefault="0014735D" w:rsidP="007961F0">
      <w:pPr>
        <w:pStyle w:val="ListParagraph"/>
        <w:numPr>
          <w:ilvl w:val="0"/>
          <w:numId w:val="39"/>
        </w:numPr>
        <w:tabs>
          <w:tab w:val="left" w:pos="284"/>
        </w:tabs>
        <w:spacing w:before="0" w:after="0"/>
        <w:ind w:left="0" w:firstLine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B34F1">
        <w:rPr>
          <w:rFonts w:ascii="Times New Roman" w:hAnsi="Times New Roman"/>
          <w:sz w:val="24"/>
          <w:szCs w:val="24"/>
          <w:lang w:val="sr-Cyrl-BA"/>
        </w:rPr>
        <w:t xml:space="preserve">Јединице локалне самоуправе би требале у наредном периоду извршити анализу и донијети нове методологије за </w:t>
      </w:r>
      <w:r w:rsidR="0062382A" w:rsidRPr="002B34F1">
        <w:rPr>
          <w:rFonts w:ascii="Times New Roman" w:hAnsi="Times New Roman"/>
          <w:sz w:val="24"/>
          <w:szCs w:val="24"/>
          <w:lang w:val="sr-Cyrl-BA"/>
        </w:rPr>
        <w:t>утврђивање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 почетних вриједности непокретности уважавајући инфлаторне утицаје на тржишту непокретности у Републици Српској, а што би у коначници требало да допринесе расту прихода од </w:t>
      </w:r>
      <w:r w:rsidRPr="002B34F1">
        <w:rPr>
          <w:rFonts w:ascii="Times New Roman" w:hAnsi="Times New Roman"/>
          <w:b/>
          <w:sz w:val="24"/>
          <w:szCs w:val="24"/>
          <w:lang w:val="sr-Cyrl-BA"/>
        </w:rPr>
        <w:t>пореза на непокретност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. Такође, потребно је уложити додатне напоре </w:t>
      </w:r>
      <w:r w:rsidR="00781F32" w:rsidRPr="002B34F1">
        <w:rPr>
          <w:rFonts w:ascii="Times New Roman" w:hAnsi="Times New Roman"/>
          <w:sz w:val="24"/>
          <w:szCs w:val="24"/>
          <w:lang w:val="sr-Cyrl-BA"/>
        </w:rPr>
        <w:t>да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 би се употпунио обухват непокретности уписаних у Фискални регистар непокретности.</w:t>
      </w:r>
    </w:p>
    <w:p w14:paraId="773F2E33" w14:textId="77777777" w:rsidR="007961F0" w:rsidRPr="002B34F1" w:rsidRDefault="007961F0" w:rsidP="007961F0">
      <w:pPr>
        <w:pStyle w:val="ListParagraph"/>
        <w:tabs>
          <w:tab w:val="left" w:pos="284"/>
        </w:tabs>
        <w:spacing w:before="0" w:after="0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4DDC4AB2" w14:textId="77777777" w:rsidR="0014735D" w:rsidRPr="002B34F1" w:rsidRDefault="0014735D" w:rsidP="007961F0">
      <w:pPr>
        <w:pStyle w:val="ListParagraph"/>
        <w:numPr>
          <w:ilvl w:val="0"/>
          <w:numId w:val="39"/>
        </w:numPr>
        <w:tabs>
          <w:tab w:val="left" w:pos="284"/>
        </w:tabs>
        <w:spacing w:before="0" w:after="0"/>
        <w:ind w:left="0" w:firstLine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B34F1">
        <w:rPr>
          <w:rFonts w:ascii="Times New Roman" w:hAnsi="Times New Roman"/>
          <w:sz w:val="24"/>
          <w:szCs w:val="24"/>
          <w:lang w:val="sr-Cyrl-BA"/>
        </w:rPr>
        <w:t xml:space="preserve">Такође, Влада Републике Српске је опредијељена да уведе </w:t>
      </w:r>
      <w:r w:rsidRPr="002B34F1">
        <w:rPr>
          <w:rFonts w:ascii="Times New Roman" w:hAnsi="Times New Roman"/>
          <w:b/>
          <w:sz w:val="24"/>
          <w:szCs w:val="24"/>
          <w:lang w:val="sr-Cyrl-BA"/>
        </w:rPr>
        <w:t>нови систем фискализације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, чиме се очекује смањење сиве економије и смањење пореске евазије, те побољшање пореске дисциплине, што директно повећава конкурентност привредних субјеката који поштују пореске прописе. Повећање обухвата и основице за опорезивање као посљедица увођења новог система требало би да доведе и до пораста пореских прихода. </w:t>
      </w:r>
    </w:p>
    <w:p w14:paraId="172A655C" w14:textId="77777777" w:rsidR="007961F0" w:rsidRPr="002B34F1" w:rsidRDefault="007961F0" w:rsidP="007961F0">
      <w:pPr>
        <w:pStyle w:val="ListParagraph"/>
        <w:tabs>
          <w:tab w:val="left" w:pos="284"/>
        </w:tabs>
        <w:spacing w:before="0" w:after="0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507F33F7" w14:textId="77777777" w:rsidR="007961F0" w:rsidRPr="002B34F1" w:rsidRDefault="0014735D" w:rsidP="007961F0">
      <w:pPr>
        <w:pStyle w:val="ListParagraph"/>
        <w:tabs>
          <w:tab w:val="left" w:pos="284"/>
        </w:tabs>
        <w:spacing w:before="0" w:after="0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B34F1">
        <w:rPr>
          <w:rFonts w:ascii="Times New Roman" w:hAnsi="Times New Roman"/>
          <w:sz w:val="24"/>
          <w:szCs w:val="24"/>
          <w:lang w:val="sr-Cyrl-BA"/>
        </w:rPr>
        <w:t>Процес фискализације је свеобухватан и веома значајан процес за Републику Српску. Прва фаза процеса је било доношење законског оквира, п</w:t>
      </w:r>
      <w:r w:rsidR="00CD060B" w:rsidRPr="002B34F1">
        <w:rPr>
          <w:rFonts w:ascii="Times New Roman" w:hAnsi="Times New Roman"/>
          <w:sz w:val="24"/>
          <w:szCs w:val="24"/>
          <w:lang w:val="sr-Cyrl-BA"/>
        </w:rPr>
        <w:t>а је Закон о фискализацији доне</w:t>
      </w:r>
      <w:r w:rsidRPr="002B34F1">
        <w:rPr>
          <w:rFonts w:ascii="Times New Roman" w:hAnsi="Times New Roman"/>
          <w:sz w:val="24"/>
          <w:szCs w:val="24"/>
          <w:lang w:val="sr-Cyrl-BA"/>
        </w:rPr>
        <w:t>сен у фебруару 2022. године („Службени гласник Републике Српске“, број 15/22). Друга фаза је доношење дијела подзаконских аката и успостављање Система за управљање фискализацијом у Пореској управи Републике Српске. У</w:t>
      </w:r>
      <w:r w:rsidR="00534C5A" w:rsidRPr="002B34F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2B34F1">
        <w:rPr>
          <w:rFonts w:ascii="Times New Roman" w:hAnsi="Times New Roman"/>
          <w:sz w:val="24"/>
          <w:szCs w:val="24"/>
          <w:lang w:val="sr-Cyrl-BA"/>
        </w:rPr>
        <w:t>јуну 2022. године донесен</w:t>
      </w:r>
      <w:r w:rsidR="00781F32" w:rsidRPr="002B34F1">
        <w:rPr>
          <w:rFonts w:ascii="Times New Roman" w:hAnsi="Times New Roman"/>
          <w:sz w:val="24"/>
          <w:szCs w:val="24"/>
          <w:lang w:val="sr-Cyrl-BA"/>
        </w:rPr>
        <w:t>и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 су основна три правилника који су били не</w:t>
      </w:r>
      <w:r w:rsidR="0062382A" w:rsidRPr="002B34F1">
        <w:rPr>
          <w:rFonts w:ascii="Times New Roman" w:hAnsi="Times New Roman"/>
          <w:sz w:val="24"/>
          <w:szCs w:val="24"/>
          <w:lang w:val="sr-Cyrl-BA"/>
        </w:rPr>
        <w:t>оп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ходни </w:t>
      </w:r>
      <w:r w:rsidR="00781F32" w:rsidRPr="002B34F1">
        <w:rPr>
          <w:rFonts w:ascii="Times New Roman" w:hAnsi="Times New Roman"/>
          <w:sz w:val="24"/>
          <w:szCs w:val="24"/>
          <w:lang w:val="sr-Cyrl-BA"/>
        </w:rPr>
        <w:t>да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 би се успоставио Систем за управљање фискализацијом у Пореској управи Републике Српске, чије успостављање је у завршној фази. У току је израда још три подзаконска акта којима ће бити утврђена тачна динамика фискализације. Трећа фаза је иницијална фискализација. Имајући на уму да ће Систем за управљање фискализацијом бити у пуној оперативности од јануара 2024. године, тада се очекује и да ће бити отпочета иницијална фискализација. Позитиван утицај на приходе реално је очекивати од 2024. године.</w:t>
      </w:r>
    </w:p>
    <w:p w14:paraId="3AF977C0" w14:textId="77777777" w:rsidR="007961F0" w:rsidRPr="002B34F1" w:rsidRDefault="007961F0" w:rsidP="007961F0">
      <w:pPr>
        <w:pStyle w:val="ListParagraph"/>
        <w:tabs>
          <w:tab w:val="left" w:pos="284"/>
        </w:tabs>
        <w:spacing w:before="0" w:after="0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0F73E59B" w14:textId="77777777" w:rsidR="0014735D" w:rsidRPr="002B34F1" w:rsidRDefault="0014735D" w:rsidP="007961F0">
      <w:pPr>
        <w:pStyle w:val="ListParagraph"/>
        <w:numPr>
          <w:ilvl w:val="0"/>
          <w:numId w:val="39"/>
        </w:numPr>
        <w:tabs>
          <w:tab w:val="left" w:pos="284"/>
        </w:tabs>
        <w:spacing w:before="0" w:after="0"/>
        <w:ind w:left="0" w:firstLine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B34F1">
        <w:rPr>
          <w:rFonts w:ascii="Times New Roman" w:hAnsi="Times New Roman"/>
          <w:sz w:val="24"/>
          <w:szCs w:val="24"/>
          <w:lang w:val="sr-Cyrl-BA"/>
        </w:rPr>
        <w:t xml:space="preserve">Примјена Закона о </w:t>
      </w:r>
      <w:r w:rsidRPr="002B34F1">
        <w:rPr>
          <w:rFonts w:ascii="Times New Roman" w:hAnsi="Times New Roman"/>
          <w:b/>
          <w:sz w:val="24"/>
          <w:szCs w:val="24"/>
          <w:lang w:val="sr-Cyrl-BA"/>
        </w:rPr>
        <w:t>играма на срећу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 из 2019. године, као и нови концепт приређивања игара на срећу из године у годину даје све боље резултате, који се огледају у додатном уређењу области игара на срећу, смањењу сиве зоне у тој области, квалитетнијој контроли приређивања кроз ув</w:t>
      </w:r>
      <w:r w:rsidR="00781F32" w:rsidRPr="002B34F1">
        <w:rPr>
          <w:rFonts w:ascii="Times New Roman" w:hAnsi="Times New Roman"/>
          <w:sz w:val="24"/>
          <w:szCs w:val="24"/>
          <w:lang w:val="sr-Cyrl-BA"/>
        </w:rPr>
        <w:t>ођење рачунарског система за он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лајн надзор, те јачању и </w:t>
      </w:r>
      <w:r w:rsidRPr="002B34F1">
        <w:rPr>
          <w:rFonts w:ascii="Times New Roman" w:hAnsi="Times New Roman"/>
          <w:sz w:val="24"/>
          <w:szCs w:val="24"/>
          <w:lang w:val="sr-Cyrl-BA"/>
        </w:rPr>
        <w:lastRenderedPageBreak/>
        <w:t>развоју предузећа у којима Република Српска има учешће у капиталу, као и значајном расту буџетских прихода.</w:t>
      </w:r>
    </w:p>
    <w:p w14:paraId="6C3C3184" w14:textId="77777777" w:rsidR="007961F0" w:rsidRPr="002B34F1" w:rsidRDefault="007961F0" w:rsidP="007961F0">
      <w:pPr>
        <w:pStyle w:val="ListParagraph"/>
        <w:tabs>
          <w:tab w:val="left" w:pos="284"/>
        </w:tabs>
        <w:spacing w:before="0" w:after="0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5C44765C" w14:textId="77777777" w:rsidR="0014735D" w:rsidRPr="002B34F1" w:rsidRDefault="0014735D" w:rsidP="007961F0">
      <w:pPr>
        <w:pStyle w:val="ListParagraph"/>
        <w:numPr>
          <w:ilvl w:val="0"/>
          <w:numId w:val="39"/>
        </w:numPr>
        <w:tabs>
          <w:tab w:val="left" w:pos="284"/>
        </w:tabs>
        <w:spacing w:before="0" w:after="0"/>
        <w:ind w:left="0" w:firstLine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B34F1">
        <w:rPr>
          <w:rFonts w:ascii="Times New Roman" w:hAnsi="Times New Roman"/>
          <w:sz w:val="24"/>
          <w:szCs w:val="24"/>
          <w:lang w:val="sr-Cyrl-BA"/>
        </w:rPr>
        <w:t xml:space="preserve">И на крају, сектор јавних предузећа у Републици Српској чини значајан дио економије и броја запослених, али мање када је у питању додата вриједност или добит, те су стога започете активности везане за </w:t>
      </w:r>
      <w:r w:rsidRPr="002B34F1">
        <w:rPr>
          <w:rFonts w:ascii="Times New Roman" w:hAnsi="Times New Roman"/>
          <w:b/>
          <w:sz w:val="24"/>
          <w:szCs w:val="24"/>
          <w:lang w:val="sr-Cyrl-BA"/>
        </w:rPr>
        <w:t>реформу јавних предузећа.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 Такође, јавна предузећа представљају значајан извор фискалних ризика, како на страни буџетских прихода, тако и на страни расхода, што указује на потребу за реформом. Одрживост, ефикасност и профитабилност јавних предузећа утичу на приходе буџета, односно на износ добити коју уплаћују у буџет или увећање расхода због </w:t>
      </w:r>
      <w:r w:rsidR="00781F32" w:rsidRPr="002B34F1">
        <w:rPr>
          <w:rFonts w:ascii="Times New Roman" w:hAnsi="Times New Roman"/>
          <w:sz w:val="24"/>
          <w:szCs w:val="24"/>
          <w:lang w:val="sr-Cyrl-BA"/>
        </w:rPr>
        <w:t xml:space="preserve">њихове неликвидности. </w:t>
      </w:r>
      <w:r w:rsidRPr="002B34F1">
        <w:rPr>
          <w:rFonts w:ascii="Times New Roman" w:hAnsi="Times New Roman"/>
          <w:sz w:val="24"/>
          <w:szCs w:val="24"/>
          <w:lang w:val="sr-Cyrl-BA"/>
        </w:rPr>
        <w:t>Портфељ јавних предузећа у Републици Српској је највећим дијелом концентрисан у 20 предузећа од посебног интереса. Посебна пажња је посвећена праћењу, анализи и извјештавању у погледу фискалних ризика који се односе на јавна предузећа од посебног интереса. Такође, Влада Републике Српске је успоставила систем за координацију надзора јавних предузећа од посебног интереса, као и она у којима Влада врш</w:t>
      </w:r>
      <w:r w:rsidR="00781F32" w:rsidRPr="002B34F1">
        <w:rPr>
          <w:rFonts w:ascii="Times New Roman" w:hAnsi="Times New Roman"/>
          <w:sz w:val="24"/>
          <w:szCs w:val="24"/>
          <w:lang w:val="sr-Cyrl-BA"/>
        </w:rPr>
        <w:t>и функцију скупштине акционара.</w:t>
      </w:r>
    </w:p>
    <w:p w14:paraId="497D865B" w14:textId="77777777" w:rsidR="0014735D" w:rsidRPr="002B34F1" w:rsidRDefault="0014735D" w:rsidP="007961F0">
      <w:pPr>
        <w:pStyle w:val="ListParagraph"/>
        <w:numPr>
          <w:ilvl w:val="0"/>
          <w:numId w:val="39"/>
        </w:numPr>
        <w:tabs>
          <w:tab w:val="left" w:pos="284"/>
        </w:tabs>
        <w:spacing w:before="0" w:after="0"/>
        <w:ind w:left="0" w:firstLine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B34F1">
        <w:rPr>
          <w:rFonts w:ascii="Times New Roman" w:hAnsi="Times New Roman"/>
          <w:sz w:val="24"/>
          <w:szCs w:val="24"/>
          <w:lang w:val="sr-Cyrl-BA"/>
        </w:rPr>
        <w:t>Процесом</w:t>
      </w:r>
      <w:r w:rsidR="00781F32" w:rsidRPr="002B34F1">
        <w:rPr>
          <w:rFonts w:ascii="Times New Roman" w:hAnsi="Times New Roman"/>
          <w:sz w:val="24"/>
          <w:szCs w:val="24"/>
          <w:lang w:val="sr-Cyrl-BA"/>
        </w:rPr>
        <w:t xml:space="preserve"> управљања буџетом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2B34F1">
        <w:rPr>
          <w:rFonts w:ascii="Times New Roman" w:hAnsi="Times New Roman"/>
          <w:b/>
          <w:sz w:val="24"/>
          <w:szCs w:val="24"/>
          <w:lang w:val="sr-Cyrl-BA"/>
        </w:rPr>
        <w:t>рационализовати јавну потрошњу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 уз обезбјеђење редовног измирења доспјелих обавеза и без стварања нових за које нису обезбијеђена буџетска средства. Рационализацију је потребно извршити на позицијама материјалних трошкова, субвенција и грантова</w:t>
      </w:r>
      <w:r w:rsidR="00781F32" w:rsidRPr="002B34F1">
        <w:rPr>
          <w:rFonts w:ascii="Times New Roman" w:hAnsi="Times New Roman"/>
          <w:sz w:val="24"/>
          <w:szCs w:val="24"/>
          <w:lang w:val="sr-Cyrl-BA"/>
        </w:rPr>
        <w:t>,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 као и др</w:t>
      </w:r>
      <w:r w:rsidR="00781F32" w:rsidRPr="002B34F1">
        <w:rPr>
          <w:rFonts w:ascii="Times New Roman" w:hAnsi="Times New Roman"/>
          <w:sz w:val="24"/>
          <w:szCs w:val="24"/>
          <w:lang w:val="sr-Cyrl-BA"/>
        </w:rPr>
        <w:t>угих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 непродуктивних расхода и издатака руководећи се начелима штедње и рационалне прерасподјеле средстава.</w:t>
      </w:r>
    </w:p>
    <w:p w14:paraId="6F983037" w14:textId="77777777" w:rsidR="007961F0" w:rsidRPr="002B34F1" w:rsidRDefault="007961F0" w:rsidP="007961F0">
      <w:pPr>
        <w:pStyle w:val="ListParagraph"/>
        <w:tabs>
          <w:tab w:val="left" w:pos="284"/>
        </w:tabs>
        <w:spacing w:before="0" w:after="0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3C7EA20C" w14:textId="77777777" w:rsidR="0014735D" w:rsidRPr="002B34F1" w:rsidRDefault="0014735D" w:rsidP="007961F0">
      <w:pPr>
        <w:pStyle w:val="ListParagraph"/>
        <w:numPr>
          <w:ilvl w:val="0"/>
          <w:numId w:val="39"/>
        </w:numPr>
        <w:tabs>
          <w:tab w:val="left" w:pos="284"/>
        </w:tabs>
        <w:spacing w:before="0" w:after="0"/>
        <w:ind w:left="0" w:firstLine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B34F1">
        <w:rPr>
          <w:rFonts w:ascii="Times New Roman" w:hAnsi="Times New Roman"/>
          <w:b/>
          <w:sz w:val="24"/>
          <w:szCs w:val="24"/>
          <w:lang w:val="sr-Cyrl-BA"/>
        </w:rPr>
        <w:t>Позиције личних примања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 планирати у складу са законском, подзаконском и другом регулативом која регулише ову област, без доношења нових или измјена постојећих законских рјешења која би произвела додатна издвајања и п</w:t>
      </w:r>
      <w:r w:rsidR="007961F0" w:rsidRPr="002B34F1">
        <w:rPr>
          <w:rFonts w:ascii="Times New Roman" w:hAnsi="Times New Roman"/>
          <w:sz w:val="24"/>
          <w:szCs w:val="24"/>
          <w:lang w:val="sr-Cyrl-BA"/>
        </w:rPr>
        <w:t>овећања расхода по овом основу.</w:t>
      </w:r>
    </w:p>
    <w:p w14:paraId="611B67C5" w14:textId="77777777" w:rsidR="007961F0" w:rsidRPr="002B34F1" w:rsidRDefault="007961F0" w:rsidP="007961F0">
      <w:pPr>
        <w:pStyle w:val="ListParagraph"/>
        <w:tabs>
          <w:tab w:val="left" w:pos="284"/>
        </w:tabs>
        <w:spacing w:before="0" w:after="0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7368E05B" w14:textId="77777777" w:rsidR="002E1EEE" w:rsidRPr="002B34F1" w:rsidRDefault="0014735D" w:rsidP="007961F0">
      <w:pPr>
        <w:pStyle w:val="ListParagraph"/>
        <w:numPr>
          <w:ilvl w:val="0"/>
          <w:numId w:val="39"/>
        </w:numPr>
        <w:tabs>
          <w:tab w:val="left" w:pos="284"/>
        </w:tabs>
        <w:spacing w:before="0" w:after="0"/>
        <w:ind w:left="0" w:firstLine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B34F1">
        <w:rPr>
          <w:rFonts w:ascii="Times New Roman" w:hAnsi="Times New Roman"/>
          <w:sz w:val="24"/>
          <w:szCs w:val="24"/>
          <w:lang w:val="sr-Cyrl-BA"/>
        </w:rPr>
        <w:t xml:space="preserve">Посебним колективним уговором за запослене у области локалне самоуправе Републике Српске уговорити износ </w:t>
      </w:r>
      <w:r w:rsidRPr="002B34F1">
        <w:rPr>
          <w:rFonts w:ascii="Times New Roman" w:hAnsi="Times New Roman"/>
          <w:b/>
          <w:sz w:val="24"/>
          <w:szCs w:val="24"/>
          <w:lang w:val="sr-Cyrl-BA"/>
        </w:rPr>
        <w:t>накнаде по основу осталих личних примања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 на начин да се </w:t>
      </w:r>
      <w:r w:rsidR="00781F32" w:rsidRPr="002B34F1">
        <w:rPr>
          <w:rFonts w:ascii="Times New Roman" w:hAnsi="Times New Roman"/>
          <w:sz w:val="24"/>
          <w:szCs w:val="24"/>
          <w:lang w:val="sr-Cyrl-BA"/>
        </w:rPr>
        <w:t xml:space="preserve">он </w:t>
      </w:r>
      <w:r w:rsidRPr="002B34F1">
        <w:rPr>
          <w:rFonts w:ascii="Times New Roman" w:hAnsi="Times New Roman"/>
          <w:sz w:val="24"/>
          <w:szCs w:val="24"/>
          <w:lang w:val="sr-Cyrl-BA"/>
        </w:rPr>
        <w:t>сведе на тренутно прописани минимални износ (регрес за коришћење годишњег одмора, трошкова једног топлог оброка, накнада трошкова превоза приликом доласка на посао и повратка са посла и др.).</w:t>
      </w:r>
    </w:p>
    <w:p w14:paraId="19740390" w14:textId="77777777" w:rsidR="007961F0" w:rsidRPr="002B34F1" w:rsidRDefault="007961F0" w:rsidP="007961F0">
      <w:pPr>
        <w:pStyle w:val="ListParagraph"/>
        <w:tabs>
          <w:tab w:val="left" w:pos="284"/>
        </w:tabs>
        <w:spacing w:before="0" w:after="0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12B97293" w14:textId="77777777" w:rsidR="00180238" w:rsidRPr="002B34F1" w:rsidRDefault="002E1EEE" w:rsidP="007961F0">
      <w:pPr>
        <w:pStyle w:val="ListParagraph"/>
        <w:numPr>
          <w:ilvl w:val="0"/>
          <w:numId w:val="39"/>
        </w:numPr>
        <w:tabs>
          <w:tab w:val="left" w:pos="284"/>
        </w:tabs>
        <w:spacing w:before="0" w:after="0"/>
        <w:ind w:left="0" w:firstLine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B34F1">
        <w:rPr>
          <w:rFonts w:ascii="Times New Roman" w:hAnsi="Times New Roman"/>
          <w:sz w:val="24"/>
          <w:szCs w:val="24"/>
          <w:lang w:val="sr-Cyrl-BA"/>
        </w:rPr>
        <w:t xml:space="preserve">У </w:t>
      </w:r>
      <w:r w:rsidR="00463FCC" w:rsidRPr="002B34F1">
        <w:rPr>
          <w:rFonts w:ascii="Times New Roman" w:hAnsi="Times New Roman"/>
          <w:sz w:val="24"/>
          <w:szCs w:val="24"/>
          <w:lang w:val="sr-Cyrl-BA"/>
        </w:rPr>
        <w:t xml:space="preserve">посматраном периоду </w:t>
      </w:r>
      <w:r w:rsidR="00180238" w:rsidRPr="002B34F1">
        <w:rPr>
          <w:rFonts w:ascii="Times New Roman" w:hAnsi="Times New Roman"/>
          <w:sz w:val="24"/>
          <w:szCs w:val="24"/>
          <w:lang w:val="sr-Cyrl-BA"/>
        </w:rPr>
        <w:t>потреб</w:t>
      </w:r>
      <w:r w:rsidR="00463FCC" w:rsidRPr="002B34F1">
        <w:rPr>
          <w:rFonts w:ascii="Times New Roman" w:hAnsi="Times New Roman"/>
          <w:sz w:val="24"/>
          <w:szCs w:val="24"/>
          <w:lang w:val="sr-Cyrl-BA"/>
        </w:rPr>
        <w:t>но је интензивно радити на изради</w:t>
      </w:r>
      <w:r w:rsidR="00180238" w:rsidRPr="002B34F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180238" w:rsidRPr="002B34F1">
        <w:rPr>
          <w:rFonts w:ascii="Times New Roman" w:hAnsi="Times New Roman"/>
          <w:b/>
          <w:sz w:val="24"/>
          <w:szCs w:val="24"/>
          <w:lang w:val="sr-Cyrl-BA"/>
        </w:rPr>
        <w:t>социјалне карте</w:t>
      </w:r>
      <w:r w:rsidR="00180238" w:rsidRPr="002B34F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81F32" w:rsidRPr="002B34F1">
        <w:rPr>
          <w:rFonts w:ascii="Times New Roman" w:hAnsi="Times New Roman"/>
          <w:sz w:val="24"/>
          <w:szCs w:val="24"/>
          <w:lang w:val="sr-Cyrl-BA"/>
        </w:rPr>
        <w:t>да</w:t>
      </w:r>
      <w:r w:rsidR="00180238" w:rsidRPr="002B34F1">
        <w:rPr>
          <w:rFonts w:ascii="Times New Roman" w:hAnsi="Times New Roman"/>
          <w:sz w:val="24"/>
          <w:szCs w:val="24"/>
          <w:lang w:val="sr-Cyrl-BA"/>
        </w:rPr>
        <w:t xml:space="preserve"> би се повећала ефикасност социјалних давања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180238" w:rsidRPr="002B34F1">
        <w:rPr>
          <w:rFonts w:ascii="Times New Roman" w:hAnsi="Times New Roman"/>
          <w:sz w:val="24"/>
          <w:szCs w:val="24"/>
          <w:lang w:val="sr-Cyrl-BA"/>
        </w:rPr>
        <w:t>и унаприједио систем социјалне заштите у Републици Српској. Наведено посебно долази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180238" w:rsidRPr="002B34F1">
        <w:rPr>
          <w:rFonts w:ascii="Times New Roman" w:hAnsi="Times New Roman"/>
          <w:sz w:val="24"/>
          <w:szCs w:val="24"/>
          <w:lang w:val="sr-Cyrl-BA"/>
        </w:rPr>
        <w:t>до значаја у кризним временима, како би се избјегла неселективна давања, односно како би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180238" w:rsidRPr="002B34F1">
        <w:rPr>
          <w:rFonts w:ascii="Times New Roman" w:hAnsi="Times New Roman"/>
          <w:sz w:val="24"/>
          <w:szCs w:val="24"/>
          <w:lang w:val="sr-Cyrl-BA"/>
        </w:rPr>
        <w:t xml:space="preserve">се средства усмјеравала што праведније најугроженијим категоријама становништва, а </w:t>
      </w:r>
      <w:r w:rsidR="002C1518" w:rsidRPr="002B34F1">
        <w:rPr>
          <w:rFonts w:ascii="Times New Roman" w:hAnsi="Times New Roman"/>
          <w:sz w:val="24"/>
          <w:szCs w:val="24"/>
          <w:lang w:val="sr-Cyrl-BA"/>
        </w:rPr>
        <w:t>с циљем</w:t>
      </w:r>
      <w:r w:rsidR="00180238" w:rsidRPr="002B34F1">
        <w:rPr>
          <w:rFonts w:ascii="Times New Roman" w:hAnsi="Times New Roman"/>
          <w:sz w:val="24"/>
          <w:szCs w:val="24"/>
          <w:lang w:val="sr-Cyrl-BA"/>
        </w:rPr>
        <w:t xml:space="preserve"> побољшања и очувања њиховог животног стандарда.</w:t>
      </w:r>
    </w:p>
    <w:p w14:paraId="6F6D1AE9" w14:textId="77777777" w:rsidR="007961F0" w:rsidRPr="002B34F1" w:rsidRDefault="007961F0" w:rsidP="007961F0">
      <w:pPr>
        <w:pStyle w:val="ListParagraph"/>
        <w:tabs>
          <w:tab w:val="left" w:pos="284"/>
        </w:tabs>
        <w:spacing w:before="0" w:after="0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47AE4E9C" w14:textId="77777777" w:rsidR="0014735D" w:rsidRPr="002B34F1" w:rsidRDefault="0014735D" w:rsidP="007961F0">
      <w:pPr>
        <w:pStyle w:val="ListParagraph"/>
        <w:numPr>
          <w:ilvl w:val="0"/>
          <w:numId w:val="39"/>
        </w:numPr>
        <w:tabs>
          <w:tab w:val="left" w:pos="284"/>
        </w:tabs>
        <w:spacing w:before="0" w:after="0"/>
        <w:ind w:left="0" w:firstLine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B34F1">
        <w:rPr>
          <w:rFonts w:ascii="Times New Roman" w:hAnsi="Times New Roman"/>
          <w:b/>
          <w:sz w:val="24"/>
          <w:szCs w:val="24"/>
          <w:lang w:val="sr-Cyrl-BA"/>
        </w:rPr>
        <w:t>Улагања у непродуктивне инвестиције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, односно инвестиције које нису од круцијалне важности за функционисање институција свести на минимум. Такође, редуковати и </w:t>
      </w:r>
      <w:r w:rsidRPr="002B34F1">
        <w:rPr>
          <w:rFonts w:ascii="Times New Roman" w:hAnsi="Times New Roman"/>
          <w:b/>
          <w:sz w:val="24"/>
          <w:szCs w:val="24"/>
          <w:lang w:val="sr-Cyrl-BA"/>
        </w:rPr>
        <w:t>процесе јавних набавки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050A9B28" w14:textId="77777777" w:rsidR="007961F0" w:rsidRPr="002B34F1" w:rsidRDefault="007961F0" w:rsidP="007961F0">
      <w:pPr>
        <w:pStyle w:val="ListParagraph"/>
        <w:tabs>
          <w:tab w:val="left" w:pos="284"/>
        </w:tabs>
        <w:spacing w:before="0" w:after="0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02EEF0E7" w14:textId="77777777" w:rsidR="0014735D" w:rsidRPr="002B34F1" w:rsidRDefault="0014735D" w:rsidP="007961F0">
      <w:pPr>
        <w:pStyle w:val="ListParagraph"/>
        <w:numPr>
          <w:ilvl w:val="0"/>
          <w:numId w:val="39"/>
        </w:numPr>
        <w:tabs>
          <w:tab w:val="left" w:pos="284"/>
        </w:tabs>
        <w:spacing w:before="0" w:after="0"/>
        <w:ind w:left="0" w:firstLine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B34F1">
        <w:rPr>
          <w:rFonts w:ascii="Times New Roman" w:hAnsi="Times New Roman"/>
          <w:b/>
          <w:sz w:val="24"/>
          <w:szCs w:val="24"/>
          <w:lang w:val="sr-Cyrl-BA"/>
        </w:rPr>
        <w:t>Кредитно задуживање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 јединица локалне самоуправе </w:t>
      </w:r>
      <w:r w:rsidR="00781F32" w:rsidRPr="002B34F1">
        <w:rPr>
          <w:rFonts w:ascii="Times New Roman" w:hAnsi="Times New Roman"/>
          <w:sz w:val="24"/>
          <w:szCs w:val="24"/>
          <w:lang w:val="sr-Cyrl-BA"/>
        </w:rPr>
        <w:t>с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проводити само за економски оправдане инвестиције. </w:t>
      </w:r>
    </w:p>
    <w:p w14:paraId="239C7735" w14:textId="77777777" w:rsidR="007961F0" w:rsidRPr="002B34F1" w:rsidRDefault="007961F0" w:rsidP="007961F0">
      <w:pPr>
        <w:pStyle w:val="ListParagraph"/>
        <w:tabs>
          <w:tab w:val="left" w:pos="284"/>
        </w:tabs>
        <w:spacing w:before="0" w:after="0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4495E2F4" w14:textId="77777777" w:rsidR="0014735D" w:rsidRPr="002B34F1" w:rsidRDefault="0014735D" w:rsidP="007961F0">
      <w:pPr>
        <w:pStyle w:val="ListParagraph"/>
        <w:numPr>
          <w:ilvl w:val="0"/>
          <w:numId w:val="39"/>
        </w:numPr>
        <w:tabs>
          <w:tab w:val="left" w:pos="284"/>
        </w:tabs>
        <w:spacing w:before="0" w:after="0"/>
        <w:ind w:left="0" w:firstLine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B34F1">
        <w:rPr>
          <w:rFonts w:ascii="Times New Roman" w:hAnsi="Times New Roman"/>
          <w:sz w:val="24"/>
          <w:szCs w:val="24"/>
          <w:lang w:val="sr-Cyrl-BA"/>
        </w:rPr>
        <w:t xml:space="preserve">Буџете јединица локалне самоуправе и финансијске планове фондова социјалне сигурности који се воде изван система трезорског пословања од 2024. године па до </w:t>
      </w:r>
      <w:r w:rsidRPr="002B34F1">
        <w:rPr>
          <w:rFonts w:ascii="Times New Roman" w:hAnsi="Times New Roman"/>
          <w:sz w:val="24"/>
          <w:szCs w:val="24"/>
          <w:lang w:val="sr-Cyrl-BA"/>
        </w:rPr>
        <w:lastRenderedPageBreak/>
        <w:t>године повратка у оквире фискалних правила</w:t>
      </w:r>
      <w:r w:rsidR="001E3359" w:rsidRPr="002B34F1">
        <w:rPr>
          <w:rFonts w:ascii="Times New Roman" w:hAnsi="Times New Roman"/>
          <w:sz w:val="24"/>
          <w:szCs w:val="24"/>
          <w:lang w:val="sr-Cyrl-BA"/>
        </w:rPr>
        <w:t>,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 прописаних Законом о фискалној одговорности у Републици Српској, </w:t>
      </w:r>
      <w:r w:rsidR="0062382A" w:rsidRPr="002B34F1">
        <w:rPr>
          <w:rFonts w:ascii="Times New Roman" w:hAnsi="Times New Roman"/>
          <w:sz w:val="24"/>
          <w:szCs w:val="24"/>
          <w:lang w:val="sr-Cyrl-BA"/>
        </w:rPr>
        <w:t>потребно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 је планирати са суфицитом. </w:t>
      </w:r>
    </w:p>
    <w:p w14:paraId="45308C0C" w14:textId="77777777" w:rsidR="007961F0" w:rsidRPr="002B34F1" w:rsidRDefault="007961F0" w:rsidP="007961F0">
      <w:pPr>
        <w:pStyle w:val="ListParagraph"/>
        <w:tabs>
          <w:tab w:val="left" w:pos="284"/>
        </w:tabs>
        <w:spacing w:before="0" w:after="0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7279874A" w14:textId="77777777" w:rsidR="0014735D" w:rsidRPr="002B34F1" w:rsidRDefault="0014735D" w:rsidP="00417B71">
      <w:pPr>
        <w:pStyle w:val="ListParagraph"/>
        <w:numPr>
          <w:ilvl w:val="0"/>
          <w:numId w:val="39"/>
        </w:numPr>
        <w:tabs>
          <w:tab w:val="left" w:pos="284"/>
        </w:tabs>
        <w:spacing w:before="0" w:after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B34F1">
        <w:rPr>
          <w:rFonts w:ascii="Times New Roman" w:hAnsi="Times New Roman"/>
          <w:sz w:val="24"/>
          <w:szCs w:val="24"/>
          <w:lang w:val="sr-Cyrl-BA"/>
        </w:rPr>
        <w:t>Буџет Републике</w:t>
      </w:r>
      <w:r w:rsidR="00417B71" w:rsidRPr="002B34F1">
        <w:rPr>
          <w:rFonts w:ascii="Times New Roman" w:hAnsi="Times New Roman"/>
        </w:rPr>
        <w:t xml:space="preserve"> </w:t>
      </w:r>
      <w:r w:rsidR="00417B71" w:rsidRPr="002B34F1">
        <w:rPr>
          <w:rFonts w:ascii="Times New Roman" w:hAnsi="Times New Roman"/>
          <w:sz w:val="24"/>
          <w:szCs w:val="24"/>
          <w:lang w:val="sr-Cyrl-BA"/>
        </w:rPr>
        <w:t>Српске</w:t>
      </w:r>
      <w:r w:rsidRPr="002B34F1">
        <w:rPr>
          <w:rFonts w:ascii="Times New Roman" w:hAnsi="Times New Roman"/>
          <w:sz w:val="24"/>
          <w:szCs w:val="24"/>
          <w:lang w:val="sr-Cyrl-BA"/>
        </w:rPr>
        <w:t xml:space="preserve"> од 2023. године па до године повратка у оквире фискалних правила прописаних Законом о фискалној одговорности у Републици Српској потребно је планирати са тенденцијом смањења дефицита.</w:t>
      </w:r>
    </w:p>
    <w:p w14:paraId="3B482768" w14:textId="77777777" w:rsidR="007961F0" w:rsidRPr="002B34F1" w:rsidRDefault="007961F0" w:rsidP="007961F0">
      <w:pPr>
        <w:pStyle w:val="ListParagraph"/>
        <w:tabs>
          <w:tab w:val="left" w:pos="284"/>
        </w:tabs>
        <w:spacing w:before="0" w:after="0"/>
        <w:ind w:left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5A1C8EA1" w14:textId="77777777" w:rsidR="006C4827" w:rsidRPr="002B34F1" w:rsidRDefault="006C4827" w:rsidP="007961F0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yellow"/>
          <w:lang w:val="sr-Cyrl-BA"/>
        </w:rPr>
      </w:pP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Инфлаторна кретања у току 2022. и 2023. године</w:t>
      </w:r>
      <w:r w:rsidR="00D271C2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 раст домаће потрошње имали су</w:t>
      </w:r>
      <w:r w:rsidR="00526639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позитиван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утицај на кретање прихода од пореза. С друге стране, усљед наставка инфлаторних притисака и у 2023. години, једна од мјера Владе Р</w:t>
      </w:r>
      <w:r w:rsidR="00482108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епублике Српске </w:t>
      </w:r>
      <w:r w:rsidR="002C1518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с циљем</w:t>
      </w:r>
      <w:r w:rsidR="00482108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побољшања</w:t>
      </w:r>
      <w:r w:rsidR="00EE0EB5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економско-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социјалног положаја </w:t>
      </w:r>
      <w:r w:rsidR="00781F32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запослених у Републици Српској 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била је повећање потрошње на позицији личних примања запослених који плату примају из средстава буџета Републике</w:t>
      </w:r>
      <w:r w:rsidR="00417B71" w:rsidRPr="002B34F1">
        <w:rPr>
          <w:rFonts w:ascii="Times New Roman" w:hAnsi="Times New Roman" w:cs="Times New Roman"/>
        </w:rPr>
        <w:t xml:space="preserve"> </w:t>
      </w:r>
      <w:r w:rsidR="00417B71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Српске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затим позицијама социјалних давања и субвенција. </w:t>
      </w:r>
    </w:p>
    <w:p w14:paraId="1498AC21" w14:textId="77777777" w:rsidR="006C4827" w:rsidRPr="002B34F1" w:rsidRDefault="006C4827" w:rsidP="007961F0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yellow"/>
          <w:lang w:val="sr-Cyrl-BA"/>
        </w:rPr>
      </w:pPr>
    </w:p>
    <w:p w14:paraId="40102835" w14:textId="77777777" w:rsidR="006C4827" w:rsidRPr="002B34F1" w:rsidRDefault="006C4827" w:rsidP="007961F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Према постојећим плановима за 2024. годину, </w:t>
      </w:r>
      <w:r w:rsidRPr="002B34F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укупни приходи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на нивоу буџетског система Републике Српске износе 6.524,9 милиона КМ. </w:t>
      </w:r>
      <w:r w:rsidRPr="002B34F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Укупна потрошња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 2024. години је планирана на нивоу од 6.786,5 милиона КМ, од чега се на расходе односи 6.291,9 милиона КМ, а на нето издатке за нефинансијску имовину 494,7 милиона КМ. Тако планирани буџетски оквир има за резултат дефицит на нивоу буџетског система Републике Српске од 261,6 милиона КМ, што представља смањење у односу на 2023. годину.</w:t>
      </w:r>
    </w:p>
    <w:p w14:paraId="46E35843" w14:textId="77777777" w:rsidR="006C4827" w:rsidRPr="002B34F1" w:rsidRDefault="006C4827" w:rsidP="007961F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sr-Cyrl-BA"/>
        </w:rPr>
      </w:pPr>
    </w:p>
    <w:p w14:paraId="1ABDE878" w14:textId="77777777" w:rsidR="006C4827" w:rsidRPr="002B34F1" w:rsidRDefault="006C4827" w:rsidP="007961F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Дефицит Републике </w:t>
      </w:r>
      <w:r w:rsidR="00417B71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Српске 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у износу од 261,6 милиона КМ углавном је резултат веће потрошње у односу на приходе у оквиру буџета Републике Српске (фонд 01), али и на осталим рачуноводственим фондовима (фондови 02</w:t>
      </w:r>
      <w:r w:rsidR="00781F32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–05). На нивоу Републике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417B71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Српске 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планира се раст прихода за 4,3%, док је раст расхода планиран за 3,9%, који се углавном односи на раст расхода по основу социјалних давања, расхода финансирања и других финансијских трошкова, расхода по основу коришћена роба и услуга, те расхода за лична примања запослених. Према финансијским планови</w:t>
      </w:r>
      <w:r w:rsidR="00781F32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ма фондова социјалне сигурности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предвиђа се суфицит од 40,2 милиона КМ, </w:t>
      </w:r>
      <w:r w:rsidR="00EF4526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док се</w:t>
      </w:r>
      <w:r w:rsidR="0062382A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буџетима јединица локалне само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у</w:t>
      </w:r>
      <w:r w:rsidR="0062382A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п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раве </w:t>
      </w:r>
      <w:r w:rsidR="00EF4526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предвиђа 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суфицит од 56,4 милиона КМ. </w:t>
      </w:r>
    </w:p>
    <w:p w14:paraId="028C0D2D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sr-Cyrl-BA"/>
        </w:rPr>
      </w:pPr>
    </w:p>
    <w:p w14:paraId="51E2390F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У периоду 2025</w:t>
      </w:r>
      <w:r w:rsidR="00781F32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–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2026. година, према планираним оквирима буџета за ниво буџетског система Републике Српске</w:t>
      </w:r>
      <w:r w:rsidR="00AD0470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планирано је смањење буџ</w:t>
      </w:r>
      <w:r w:rsidR="00AD0470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етског дефицита на ниво од 167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милиона КМ у 2025. години и 145,8 милиона КМ у 2026. години. У структури планираног буџетског оквира, дефицит у 2025. години резултат је дефицита Републике</w:t>
      </w:r>
      <w:r w:rsidR="00534C5A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417B71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Српске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(251,3 милиона КМ) који је дјелимично неутралисан суфицитом код фондова социјалне сигурности (29,6 милиона КМ) и јединица локалне самоуправе (54,8 милиона КМ). Слична структура дефицита очекује се и у 2026. години, гдје је дефицит Републике </w:t>
      </w:r>
      <w:r w:rsidR="00417B71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Српске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(232,2 милиона КМ) дјелимично неутралисан суфицитом код фондова социјалне сигурности (32,9 милиона КМ) и јединица локалне самоуправе (53,5 милиона КМ).</w:t>
      </w:r>
    </w:p>
    <w:p w14:paraId="6EB3D9C1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sr-Cyrl-BA"/>
        </w:rPr>
      </w:pPr>
    </w:p>
    <w:p w14:paraId="04B5A1C6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Средњорочне пројекције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2B34F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прихода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за ниво буџетског система Републике Српске</w:t>
      </w:r>
      <w:r w:rsidRPr="002B34F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AD0470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износе 6.843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милиона КМ у 2025. години и 7.114,4 милион</w:t>
      </w:r>
      <w:r w:rsidR="00AD0470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КМ у 2026. години. На основу пројектованих макроекономских показатеља и уочених трендова процјењује се да ће нивоу буџетског система Републике Српске, по основу прихода од индиректних пореза, у 2025. години припасти око 2.665,9 милиона КМ. У 2026. години очекује се да ће ови приходи износити 2.747,5 милиона КМ. То значи да ће нето приходи од индиректних пореза у 2026. години бити за 3,1% већи у односу на 2025. годину.</w:t>
      </w:r>
    </w:p>
    <w:p w14:paraId="470BE8B2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2EEABE3F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Према датим пројекцијама за период 2025</w:t>
      </w:r>
      <w:r w:rsidR="00AD0470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–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2026. година, </w:t>
      </w:r>
      <w:r w:rsidRPr="002B34F1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укупна потрошња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за</w:t>
      </w:r>
      <w:r w:rsidRPr="002B34F1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ниво</w:t>
      </w:r>
      <w:r w:rsidRPr="002B34F1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буџетског система Републике Српске</w:t>
      </w:r>
      <w:r w:rsidRPr="002B34F1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 w:rsidR="00AD0470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износи 7.010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милиона КМ и 7.260,2 милиона КМ респективно, која укључује расходе и нето издатке за нефинансијску имовину. Укупни расходи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износе 6.483,8 милиона КМ у 2025. години и 6.691,4 милиона КМ у 2026. години. Највећи дио расхода 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(око 50%) односи се на дознаке на име социјалне заштите, које се у посм</w:t>
      </w:r>
      <w:r w:rsidR="00AD0470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атраном периоду крећу од 3.427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милиона КМ до 3.548,6 милиона КМ. Око 22% расхода односи се на лична примања запослених, који су планирани на нивоу од 1.569,1 милион КМ у 2025.</w:t>
      </w:r>
      <w:r w:rsidR="00950814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години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до 1.580,8 милиона КМ у 2026. години. Поред тога, планирани нето издаци за нефинансиј</w:t>
      </w:r>
      <w:r w:rsidR="006A7C8B"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ску имовину износе 526,1 милион</w:t>
      </w: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КМ у 2025. години и 568,8 милиона КМ у 2026. години.</w:t>
      </w:r>
    </w:p>
    <w:p w14:paraId="7E913898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24352AE3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Према урађеној пројекцији, </w:t>
      </w:r>
      <w:r w:rsidRPr="002B34F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приходи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Републике </w:t>
      </w:r>
      <w:r w:rsidR="00417B71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Српске</w:t>
      </w:r>
      <w:r w:rsidR="00417B71" w:rsidRPr="002B34F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износе 4.848,5 милиона КМ </w:t>
      </w:r>
      <w:r w:rsidR="006A7C8B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у 2025. години и 5.022,1 милион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КМ у 2026. години. Према презентованим буџетским оквирима за период 2025</w:t>
      </w:r>
      <w:r w:rsidR="00AD0470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–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2026. година, у 2025. години планирано је остварење буџетског дефицита како за фонд 01 (буџет Републике </w:t>
      </w:r>
      <w:r w:rsidR="00417B71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Српске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 ужем смислу) у износу 172,6 милиона КМ тако и збирно за све фондове </w:t>
      </w:r>
      <w:r w:rsidR="00AD0470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Г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лавне књиге трезора у износу 251,2 милиона КМ. У 2026. години очекује се раст прихода за 3,6% </w:t>
      </w:r>
      <w:r w:rsidR="00AD0470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и нешто мањи раст расхода за 3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%, што ће као резултат имати остварење буџетског дефицита како за фонд 01 у износу од 159,8 милиона КМ, тако и збирно за све фондове </w:t>
      </w:r>
      <w:r w:rsidR="00AD0470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Г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лавне књиге трезора у износу од 232,2 милиона КМ. </w:t>
      </w:r>
    </w:p>
    <w:p w14:paraId="26BB101F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sr-Cyrl-BA"/>
        </w:rPr>
      </w:pPr>
    </w:p>
    <w:p w14:paraId="71663DF1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Најзначајнији дио посматране </w:t>
      </w:r>
      <w:r w:rsidRPr="002B34F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потрошње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(око 72%) односи се на ниво Републике </w:t>
      </w:r>
      <w:r w:rsidR="00417B71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Српске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који у 2025. години износи 5.099,8 милиона КМ и у 2026. години 5.254,4 милион</w:t>
      </w:r>
      <w:r w:rsidR="00AD0470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КМ. Од тога, р</w:t>
      </w:r>
      <w:r w:rsidR="00AD0470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асходи овог нивоа износе 4.877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милиона КМ и 5.045,8 милион</w:t>
      </w:r>
      <w:r w:rsidR="00AD0470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КМ, док се планирани нето издаци за нефинансијску имовину крећу од 222,8 милиона КМ и 208,6 милиона КМ, кроз посматране године. У оквиру расхода значајна су издвајања за дознаке на име социјалне заштите, затим издвајања за расходе финансирања и других финансијских трошкова, расходе за лична примања запослених, расходе по основу коришћења роба и услуга, субвенције и грантове. </w:t>
      </w:r>
    </w:p>
    <w:p w14:paraId="7A6327BB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48F82167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Највећи дио буџетског оквира Републике </w:t>
      </w:r>
      <w:r w:rsidR="00417B71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Српске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односи се на буџет Републике Српске у ужем смислу, односно на рачуноводствени фонд 01. Укупни очекивани </w:t>
      </w:r>
      <w:r w:rsidRPr="002B34F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приходи буџета Републике Српске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износе 4.405,8 милиона КМ у 2024. години, односно 4.621,4 милиона КМ у 2025. години и 4.800,8 милиона КМ у 2026. години.</w:t>
      </w:r>
    </w:p>
    <w:p w14:paraId="7226389E" w14:textId="77777777" w:rsidR="006C4827" w:rsidRPr="002B34F1" w:rsidRDefault="006C4827" w:rsidP="007961F0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highlight w:val="yellow"/>
          <w:lang w:val="sr-Cyrl-BA"/>
        </w:rPr>
      </w:pPr>
    </w:p>
    <w:p w14:paraId="3F56FB30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 складу са процјеном </w:t>
      </w:r>
      <w:r w:rsidRPr="002B34F1">
        <w:rPr>
          <w:rFonts w:ascii="Times New Roman" w:eastAsia="Times New Roman" w:hAnsi="Times New Roman" w:cs="Times New Roman"/>
          <w:i/>
          <w:sz w:val="24"/>
          <w:szCs w:val="24"/>
          <w:u w:val="single"/>
          <w:lang w:val="sr-Cyrl-BA"/>
        </w:rPr>
        <w:t>нето прихода од индиректних пореза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који припадају Републици Српској и Законом о буџетском систему Републике Српске, од пројектованих нет</w:t>
      </w:r>
      <w:r w:rsidR="00AD0470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о прихода од индиректних пореза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очекује се да ће буџету Републике</w:t>
      </w:r>
      <w:r w:rsidR="00534C5A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Српске у 2024. години бити дозначен износ од 1.942,8 милиона КМ. Такође, од пројектованих нето прихода од индиректних пореза који припадају Републици Српској процјењује се да ће у 2025. </w:t>
      </w:r>
      <w:r w:rsidR="00B7638D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години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буџету Републике</w:t>
      </w:r>
      <w:r w:rsidR="00534C5A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Српске бити дозначен износ од 1.993,3 милиона КМ, док ће у 2026. </w:t>
      </w:r>
      <w:r w:rsidR="00B7638D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години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буџету Републике Српске бити дозначен износ од 2.034,4 милиона КМ.</w:t>
      </w:r>
    </w:p>
    <w:p w14:paraId="06EF2899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val="sr-Cyrl-BA"/>
        </w:rPr>
      </w:pPr>
    </w:p>
    <w:p w14:paraId="1FF525FD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i/>
          <w:sz w:val="24"/>
          <w:szCs w:val="24"/>
          <w:u w:val="single"/>
          <w:lang w:val="sr-Cyrl-BA"/>
        </w:rPr>
        <w:t>Опорезивање добити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правних лица у Републици Српској и страних правних лица која остварују приход у Републици Српској врши се на основу Закона о порезу на добит. На основу Закона о буџетском систему Републике Српске, приход по основу пореза на добит у потпуности припада буџету Републике Српске. Узимајући у обзир трендове кретања прихода од пореза на добит у претходном периоду, као и очекивани привредни раст у наредном периоду, пројекција прихода од поре</w:t>
      </w:r>
      <w:r w:rsidR="00AD0470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за на добит износи 397,1 милион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 xml:space="preserve">КМ у 2024. години, те 430,9 милиона КМ у 2025. години и 454,3 милиона КМ у 2026. години. </w:t>
      </w:r>
    </w:p>
    <w:p w14:paraId="1ABF1B6D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val="sr-Cyrl-BA"/>
        </w:rPr>
      </w:pPr>
    </w:p>
    <w:p w14:paraId="308BE723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Очекивани </w:t>
      </w:r>
      <w:r w:rsidRPr="002B34F1">
        <w:rPr>
          <w:rFonts w:ascii="Times New Roman" w:eastAsia="Times New Roman" w:hAnsi="Times New Roman" w:cs="Times New Roman"/>
          <w:i/>
          <w:sz w:val="24"/>
          <w:szCs w:val="24"/>
          <w:u w:val="single"/>
          <w:lang w:val="sr-Cyrl-BA"/>
        </w:rPr>
        <w:t>приход од пореза на доходак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износи 286,4 милиона КМ у 2024. години, 306,1 милион КМ у 2025. години и 321,3 милиона КМ у 2026. години. Пројекција прихода од пореза на доходак је усклађена са кретањем прихода од пореза на доходак у претходном периоду, очекиваним растом плата и запослености у посматраном периоду.</w:t>
      </w:r>
    </w:p>
    <w:p w14:paraId="022EE895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sr-Cyrl-BA"/>
        </w:rPr>
      </w:pPr>
    </w:p>
    <w:p w14:paraId="5C9D5ED0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Законом о доприносима прописана је обавеза обрачуна и уплате </w:t>
      </w:r>
      <w:r w:rsidRPr="002B34F1">
        <w:rPr>
          <w:rFonts w:ascii="Times New Roman" w:eastAsia="Times New Roman" w:hAnsi="Times New Roman" w:cs="Times New Roman"/>
          <w:i/>
          <w:sz w:val="24"/>
          <w:szCs w:val="24"/>
          <w:u w:val="single"/>
          <w:lang w:val="sr-Cyrl-BA"/>
        </w:rPr>
        <w:t>доприноса за пензијско и инвалидско осигурање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. На основу Закона о буџетском систему Републике Српске, приход по основу доприноса за пензијско и инвалидско осигурање припада буџету Републике Српске. Пројекција прихо</w:t>
      </w:r>
      <w:r w:rsidR="00AD0470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да по овом основу износи 1.407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милиона КМ у 2024. години, 1.492,4 милиона КМ у 2025. години и 1.564,6 милиона КМ у 2026. години. Наведена пројекција је урађена на основу кретања прихода од овог доприноса у претходном периоду, очекиваног кретања бруто плата и броја осигураника у наредном периоду.</w:t>
      </w:r>
    </w:p>
    <w:p w14:paraId="1C4B44BB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sr-Cyrl-BA"/>
        </w:rPr>
      </w:pPr>
    </w:p>
    <w:p w14:paraId="0E988B62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Пројекција прихода по основу </w:t>
      </w:r>
      <w:r w:rsidRPr="002B34F1">
        <w:rPr>
          <w:rFonts w:ascii="Times New Roman" w:eastAsia="Times New Roman" w:hAnsi="Times New Roman" w:cs="Times New Roman"/>
          <w:i/>
          <w:sz w:val="24"/>
          <w:szCs w:val="24"/>
          <w:u w:val="single"/>
          <w:lang w:val="sr-Cyrl-BA"/>
        </w:rPr>
        <w:t>осталих пореза</w:t>
      </w:r>
      <w:r w:rsidRPr="002B34F1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sr-Cyrl-BA"/>
        </w:rPr>
        <w:footnoteReference w:id="9"/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износи 20,3 милиона КМ у 2024. години, 20,9 милиона КМ у 2025. години и 21,7 милиона КМ у 2026. години. Пројекција је усклађена са очекиваним привредним растом у средњорочном периоду, као и са очекиваним уплатама по раније одобреним репрограмима. Приходи од пореза на имовину све до појаве пандемије имали су стабилан раст, који се очекује и у наредном периоду, док су заостали индиректни приходи у наредном периоду планирани у занемаривом износу. </w:t>
      </w:r>
    </w:p>
    <w:p w14:paraId="0D27F317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val="sr-Cyrl-BA"/>
        </w:rPr>
      </w:pPr>
    </w:p>
    <w:p w14:paraId="50A56D94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Очекивани</w:t>
      </w:r>
      <w:r w:rsidR="00534C5A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2B34F1">
        <w:rPr>
          <w:rFonts w:ascii="Times New Roman" w:eastAsia="Times New Roman" w:hAnsi="Times New Roman" w:cs="Times New Roman"/>
          <w:sz w:val="24"/>
          <w:szCs w:val="24"/>
          <w:u w:val="single"/>
          <w:lang w:val="sr-Cyrl-BA"/>
        </w:rPr>
        <w:t>непорески приходи</w:t>
      </w:r>
      <w:r w:rsidRPr="002B34F1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BA"/>
        </w:rPr>
        <w:footnoteReference w:id="10"/>
      </w:r>
      <w:r w:rsidRPr="002B34F1">
        <w:rPr>
          <w:rFonts w:ascii="Times New Roman" w:eastAsia="Times New Roman" w:hAnsi="Times New Roman" w:cs="Times New Roman"/>
          <w:i/>
          <w:sz w:val="24"/>
          <w:szCs w:val="24"/>
          <w:lang w:val="sr-Cyrl-BA"/>
        </w:rPr>
        <w:t xml:space="preserve">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износе 345,9 милиона КМ у 2024. години, 371,5 милиона КМ у 2025. години и 398,3 милиона КМ у 2026. години. Пројекција непореских прихода је урађена на основу пројекције реалног раста БДП-а у посматраном периоду, досадашњих трендова у наплати непореских прихода и тренутне законске регулативе. </w:t>
      </w:r>
    </w:p>
    <w:p w14:paraId="7569B7C1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sr-Cyrl-BA"/>
        </w:rPr>
      </w:pPr>
    </w:p>
    <w:p w14:paraId="73BB6404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Укупно очекивана </w:t>
      </w:r>
      <w:r w:rsidRPr="002B34F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потрошња </w:t>
      </w:r>
      <w:r w:rsidR="0062382A" w:rsidRPr="002B34F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буџета</w:t>
      </w:r>
      <w:r w:rsidRPr="002B34F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Републике Српске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износи 4.643,5 милиона КМ у 2024. години, 4.794,1 милион КМ у 2025. години и 4.960,7 милиона КМ у 2026. години, док су укупни очекивани расходи буџета Републике Српске 4.519,8 милиона КМ у 2024. години, 4.646,2 милиона КМ у 2025. години и 4.814,6 милиона КМ у 2026. години. Поред тога, планирани нето издаци за нефинансијску имовину износе 123,7 милиона КМ у 2024. години, 147,9 милиона К</w:t>
      </w:r>
      <w:r w:rsidR="00AD0470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М у 2025. години и 146,1 милион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КМ у 2026. години.</w:t>
      </w:r>
    </w:p>
    <w:p w14:paraId="76F8E5DC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val="sr-Cyrl-BA"/>
        </w:rPr>
      </w:pPr>
    </w:p>
    <w:p w14:paraId="4597253A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Пројекција </w:t>
      </w:r>
      <w:r w:rsidRPr="002B34F1">
        <w:rPr>
          <w:rFonts w:ascii="Times New Roman" w:eastAsia="Times New Roman" w:hAnsi="Times New Roman" w:cs="Times New Roman"/>
          <w:i/>
          <w:sz w:val="24"/>
          <w:szCs w:val="24"/>
          <w:u w:val="single"/>
          <w:lang w:val="sr-Cyrl-BA"/>
        </w:rPr>
        <w:t>расхода за лична примања запослених</w:t>
      </w:r>
      <w:r w:rsidRPr="002B34F1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sr-Cyrl-BA"/>
        </w:rPr>
        <w:footnoteReference w:id="11"/>
      </w:r>
      <w:r w:rsidRPr="002B34F1">
        <w:rPr>
          <w:rFonts w:ascii="Times New Roman" w:eastAsia="Calibri" w:hAnsi="Times New Roman" w:cs="Times New Roman"/>
          <w:i/>
          <w:sz w:val="24"/>
          <w:szCs w:val="24"/>
          <w:lang w:val="sr-Cyrl-BA"/>
        </w:rPr>
        <w:t xml:space="preserve">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износи 1.139,6 милиона КМ у 2024. години, 1.143,4 милиона КМ у 2025. години и 1.148,3 милиона КМ у 2026. години. Расходи за лична примања запослених су планирани у складу са Законом о платама запослених у органима управе Републике Српске, Законом о платама запослених у институцијама правосуђа Републике Српске, Законом о платама запослених у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>Министарству унутрашњих послова Републике Српске, Законом о платама запослених у области просвјете и културе Републике Српске и Законом о платама и накнадама судија и тужилаца у Републици Српској, те Одлуком о утврђивању цијене рада у износу од 110 КМ и другим законским и подзаконским актима који регулишу ову област.</w:t>
      </w:r>
    </w:p>
    <w:p w14:paraId="527C0919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highlight w:val="green"/>
          <w:lang w:val="sr-Cyrl-BA"/>
        </w:rPr>
      </w:pPr>
    </w:p>
    <w:p w14:paraId="7B75D48D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Када је ријеч о </w:t>
      </w:r>
      <w:r w:rsidRPr="002B34F1">
        <w:rPr>
          <w:rFonts w:ascii="Times New Roman" w:eastAsia="Times New Roman" w:hAnsi="Times New Roman" w:cs="Times New Roman"/>
          <w:i/>
          <w:sz w:val="24"/>
          <w:szCs w:val="24"/>
          <w:u w:val="single"/>
          <w:lang w:val="sr-Cyrl-BA"/>
        </w:rPr>
        <w:t>расходима по основу коришћења роба и услуга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, најзначајнија средства се издвајају за расходе по основу утрошка енергије, комуналних, комуникационих и транспортних услуга, расходе по основу путовања и смјештаја, расходе за бруто накнаде за рад ван радног односа, те расходе за стручне услуге. Пројекција рас</w:t>
      </w:r>
      <w:r w:rsidR="00AD0470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хода по овом основу износи 202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милиона КМ у 2024. години, 201,4 милиона КМ у 2025. години и 203,9 милиона КМ у 2026. години.</w:t>
      </w:r>
    </w:p>
    <w:p w14:paraId="72682892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highlight w:val="green"/>
          <w:u w:val="single"/>
          <w:lang w:val="sr-Cyrl-BA"/>
        </w:rPr>
      </w:pPr>
    </w:p>
    <w:p w14:paraId="20E952EA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Пројекција расхода по основу </w:t>
      </w:r>
      <w:r w:rsidRPr="002B34F1">
        <w:rPr>
          <w:rFonts w:ascii="Times New Roman" w:eastAsia="Times New Roman" w:hAnsi="Times New Roman" w:cs="Times New Roman"/>
          <w:i/>
          <w:sz w:val="24"/>
          <w:szCs w:val="24"/>
          <w:u w:val="single"/>
          <w:lang w:val="sr-Cyrl-BA"/>
        </w:rPr>
        <w:t>грантова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износи 105,6 </w:t>
      </w:r>
      <w:r w:rsidR="00AD0470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милиона КМ у 2024. години, 108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милиона КМ у 2025. години и 111,4 милион</w:t>
      </w:r>
      <w:r w:rsidR="00AD0470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КМ у 2026. години.</w:t>
      </w:r>
    </w:p>
    <w:p w14:paraId="321EA7CF" w14:textId="77777777" w:rsidR="007961F0" w:rsidRPr="002B34F1" w:rsidRDefault="007961F0" w:rsidP="007961F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BA"/>
        </w:rPr>
      </w:pPr>
    </w:p>
    <w:p w14:paraId="5D189101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Пројекција расхода по основу </w:t>
      </w:r>
      <w:r w:rsidRPr="002B34F1">
        <w:rPr>
          <w:rFonts w:ascii="Times New Roman" w:eastAsia="Times New Roman" w:hAnsi="Times New Roman" w:cs="Times New Roman"/>
          <w:i/>
          <w:sz w:val="24"/>
          <w:szCs w:val="24"/>
          <w:u w:val="single"/>
          <w:lang w:val="sr-Cyrl-BA"/>
        </w:rPr>
        <w:t>дознаке на име социјалне заштите које се исплаћују из буџета Републике</w:t>
      </w:r>
      <w:r w:rsidR="00417B71" w:rsidRPr="002B34F1">
        <w:rPr>
          <w:rFonts w:ascii="Times New Roman" w:hAnsi="Times New Roman" w:cs="Times New Roman"/>
          <w:u w:val="single"/>
        </w:rPr>
        <w:t xml:space="preserve"> </w:t>
      </w:r>
      <w:r w:rsidR="00417B71" w:rsidRPr="002B34F1">
        <w:rPr>
          <w:rFonts w:ascii="Times New Roman" w:eastAsia="Times New Roman" w:hAnsi="Times New Roman" w:cs="Times New Roman"/>
          <w:i/>
          <w:sz w:val="24"/>
          <w:szCs w:val="24"/>
          <w:u w:val="single"/>
          <w:lang w:val="sr-Cyrl-BA"/>
        </w:rPr>
        <w:t xml:space="preserve">Српске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износи 369,8 милиона КМ у 2024. години, 370,2 </w:t>
      </w:r>
      <w:r w:rsidR="00AD0470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милиона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КМ у 2025. години и 371,2 милиона КМ у 2026. години.</w:t>
      </w:r>
    </w:p>
    <w:p w14:paraId="127FC748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  <w:u w:val="single"/>
          <w:lang w:val="sr-Cyrl-BA"/>
        </w:rPr>
      </w:pPr>
    </w:p>
    <w:p w14:paraId="4B0CC88F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Пројекција расхода по основу </w:t>
      </w:r>
      <w:r w:rsidRPr="002B34F1">
        <w:rPr>
          <w:rFonts w:ascii="Times New Roman" w:eastAsia="Times New Roman" w:hAnsi="Times New Roman" w:cs="Times New Roman"/>
          <w:i/>
          <w:sz w:val="24"/>
          <w:szCs w:val="24"/>
          <w:u w:val="single"/>
          <w:lang w:val="sr-Cyrl-BA"/>
        </w:rPr>
        <w:t>трансфера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износи 460,4 милиона КМ у 2024. години, 457,2 милиона КМ у 2025. години и 455,7 милиона КМ у 2026. години. </w:t>
      </w:r>
    </w:p>
    <w:p w14:paraId="4476E0A7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1F95442E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i/>
          <w:sz w:val="24"/>
          <w:szCs w:val="24"/>
          <w:u w:val="single"/>
          <w:lang w:val="sr-Cyrl-BA"/>
        </w:rPr>
        <w:t>Издаци за нефинансијску имовину</w:t>
      </w:r>
      <w:r w:rsidR="0062382A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пројектовани су у износу од 123,6 милиона КМ у 2024. години, 147,9 милиона К</w:t>
      </w:r>
      <w:r w:rsidR="0062382A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М у 2025. години и 146,1 милион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КМ у 2026. години, а </w:t>
      </w:r>
      <w:r w:rsidR="0062382A" w:rsidRPr="002B34F1">
        <w:rPr>
          <w:rFonts w:ascii="Times New Roman" w:eastAsia="Times New Roman" w:hAnsi="Times New Roman" w:cs="Times New Roman"/>
          <w:i/>
          <w:sz w:val="24"/>
          <w:szCs w:val="24"/>
          <w:u w:val="single"/>
          <w:lang w:val="sr-Cyrl-BA"/>
        </w:rPr>
        <w:t xml:space="preserve">издаци за финансијску </w:t>
      </w:r>
      <w:r w:rsidR="0062382A" w:rsidRPr="002B34F1">
        <w:rPr>
          <w:rFonts w:ascii="Times New Roman" w:eastAsia="Times New Roman" w:hAnsi="Times New Roman" w:cs="Times New Roman"/>
          <w:sz w:val="24"/>
          <w:szCs w:val="24"/>
          <w:u w:val="single"/>
          <w:lang w:val="sr-Cyrl-BA"/>
        </w:rPr>
        <w:t>имовину</w:t>
      </w:r>
      <w:r w:rsidR="0062382A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0,4 милиона КМ годишње у наредном трогодишњем периоду.</w:t>
      </w:r>
    </w:p>
    <w:p w14:paraId="3C656690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191C7197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i/>
          <w:sz w:val="24"/>
          <w:szCs w:val="24"/>
          <w:u w:val="single"/>
          <w:lang w:val="sr-Cyrl-BA"/>
        </w:rPr>
        <w:t>Остали издаци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пројекто</w:t>
      </w:r>
      <w:r w:rsidR="0062382A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вани су у износу од 60,1 милион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КМ у 2024</w:t>
      </w:r>
      <w:r w:rsidR="0062382A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. години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, те 50,3 милиона КМ у 2025. години и 49,6 милион</w:t>
      </w:r>
      <w:r w:rsidR="0062382A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КМ у 2026. години.</w:t>
      </w:r>
    </w:p>
    <w:p w14:paraId="733E6812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val="sr-Cyrl-BA"/>
        </w:rPr>
      </w:pPr>
    </w:p>
    <w:p w14:paraId="3C2B7FE9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Очекивани </w:t>
      </w:r>
      <w:r w:rsidRPr="002B34F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приходи јединица локалне самоуправе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су 1.002,3 милиона КМ у 2024. години, 1.049,9 милиона КМ у 2025. години и 1.102,7 милиона КМ у 2026. години. </w:t>
      </w:r>
    </w:p>
    <w:p w14:paraId="6BD6F3C5" w14:textId="77777777" w:rsidR="006C4827" w:rsidRPr="002B34F1" w:rsidRDefault="006C4827" w:rsidP="007961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green"/>
          <w:lang w:val="sr-Cyrl-BA"/>
        </w:rPr>
      </w:pPr>
    </w:p>
    <w:p w14:paraId="3052BC83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Око половине прихода јединица локалне самоуправе чине </w:t>
      </w:r>
      <w:r w:rsidRPr="002B34F1">
        <w:rPr>
          <w:rFonts w:ascii="Times New Roman" w:eastAsia="Times New Roman" w:hAnsi="Times New Roman" w:cs="Times New Roman"/>
          <w:i/>
          <w:sz w:val="24"/>
          <w:szCs w:val="24"/>
          <w:u w:val="single"/>
          <w:lang w:val="sr-Cyrl-BA"/>
        </w:rPr>
        <w:t>приходи од индиректних пореза</w:t>
      </w:r>
      <w:r w:rsidRPr="002B34F1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BA"/>
        </w:rPr>
        <w:footnoteReference w:id="12"/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У складу са пројекцијом прихода од индиректних пореза за период </w:t>
      </w:r>
      <w:r w:rsidR="006632E6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2024–2026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. годин</w:t>
      </w:r>
      <w:r w:rsidR="001151EC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Законом о буџетском систему Републике Српске, процјењује се да ће приходи општина и градова по основу индиректних пореза у 2024. години износити око 486,7 милиона КМ, у 2025. години око 523,7 милиона КМ и у 2026. години око 559,4 милиона КМ. </w:t>
      </w:r>
    </w:p>
    <w:p w14:paraId="7116AF73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val="sr-Cyrl-BA"/>
        </w:rPr>
      </w:pPr>
    </w:p>
    <w:p w14:paraId="0E55C205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 оквиру </w:t>
      </w:r>
      <w:r w:rsidRPr="002B34F1">
        <w:rPr>
          <w:rFonts w:ascii="Times New Roman" w:eastAsia="Times New Roman" w:hAnsi="Times New Roman" w:cs="Times New Roman"/>
          <w:i/>
          <w:sz w:val="24"/>
          <w:szCs w:val="24"/>
          <w:u w:val="single"/>
          <w:lang w:val="sr-Cyrl-BA"/>
        </w:rPr>
        <w:t>прихода од директних пореза</w:t>
      </w:r>
      <w:r w:rsidRPr="002B34F1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BA"/>
        </w:rPr>
        <w:footnoteReference w:id="13"/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код јединица локалне самоуправе најважнији су приходи од пореза на доходак и приходи од пореза на имовину. Према пројекцији, приход од пореза на доходак који припада буџетима јединица локалне самоуправе износи 79,1 милион КМ у 2024. години, 83,2 милиона КМ у 2025. години и 88,1 милион КМ у 2026. години. Наведене пројекције усклађене су са пројекцијом раста плата и запослености у Републици Српској.</w:t>
      </w:r>
    </w:p>
    <w:p w14:paraId="0B00FB62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>Опорезивање непокретности у Републици Српској прописано је Законом о порезу на непокретности, a на основу Закона о буџетском систему Републике Српске приход од пореза на непокретности у потпуности припада буџетима јединица локалне самоуправе. Пројекција прихода по основу пореза на непокретност износи 29,4 милиона КМ у 2024. години, 30,3 милиона КМ у 2025. години и 31,4 милиона КМ у 2026. години.</w:t>
      </w:r>
    </w:p>
    <w:p w14:paraId="3FB88F9B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sr-Cyrl-BA"/>
        </w:rPr>
      </w:pPr>
    </w:p>
    <w:p w14:paraId="2669FF35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Очекивани укупни износ </w:t>
      </w:r>
      <w:r w:rsidRPr="002B34F1">
        <w:rPr>
          <w:rFonts w:ascii="Times New Roman" w:eastAsia="Times New Roman" w:hAnsi="Times New Roman" w:cs="Times New Roman"/>
          <w:i/>
          <w:sz w:val="24"/>
          <w:szCs w:val="24"/>
          <w:u w:val="single"/>
          <w:lang w:val="sr-Cyrl-BA"/>
        </w:rPr>
        <w:t>непореских прихода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 буџетима јединица локалних самоуправа је 283,3 милиона КМ у 2024. години, 289,2 милиона КМ у 2025. години и 295,8 милиона КМ у 2026. години. </w:t>
      </w:r>
    </w:p>
    <w:p w14:paraId="4B705C2F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sr-Cyrl-BA"/>
        </w:rPr>
      </w:pPr>
    </w:p>
    <w:p w14:paraId="308D5F4D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Очекивана </w:t>
      </w:r>
      <w:r w:rsidRPr="002B34F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потрошња </w:t>
      </w:r>
      <w:r w:rsidR="0062382A" w:rsidRPr="002B34F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јединица</w:t>
      </w:r>
      <w:r w:rsidRPr="002B34F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локалне </w:t>
      </w:r>
      <w:r w:rsidR="0062382A" w:rsidRPr="002B34F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самоуправе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износи 945,9 милиона КМ у 2024. години, те 995,1 милион КМ у 2025. години и 1.045,9 милиона КМ у 2026. годи</w:t>
      </w:r>
      <w:r w:rsidR="0062382A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ни, од чега расходи износе 821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милион КМ у 2024. години, те 825,1 </w:t>
      </w:r>
      <w:r w:rsidR="0062382A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милион КМ у 2025. години и 827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милиона КМ. Планирани издаци за нефинансијску имовину јединица лока</w:t>
      </w:r>
      <w:r w:rsidR="0062382A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л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не самоуправе износе 124,9 милиона КМ у 2024. години, затим 170,1 милион КМ у 2025. години и 222,2 милиона КМ у 2026. години. У структури расхода најзначајнији су расходи за лична примања запослених, расходи по основу к</w:t>
      </w:r>
      <w:r w:rsidR="0062382A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о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ришћења роба и услуга, али и дознаке на име социјалне заштите. </w:t>
      </w:r>
    </w:p>
    <w:p w14:paraId="3A8DD9DA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val="sr-Cyrl-BA"/>
        </w:rPr>
      </w:pPr>
    </w:p>
    <w:p w14:paraId="6EEB419B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Пројекција </w:t>
      </w:r>
      <w:r w:rsidRPr="002B34F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прихода фондова социјалне сигурности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износи 1.325,5 милиона КМ у 2024. години, те 1.378,6 милиона КМ у 2025. години и 1.419,2 милиона КМ у 2026. години. Највећи дио прихода фондова чине </w:t>
      </w:r>
      <w:r w:rsidRPr="002B34F1">
        <w:rPr>
          <w:rFonts w:ascii="Times New Roman" w:eastAsia="Times New Roman" w:hAnsi="Times New Roman" w:cs="Times New Roman"/>
          <w:i/>
          <w:sz w:val="24"/>
          <w:szCs w:val="24"/>
          <w:u w:val="single"/>
          <w:lang w:val="sr-Cyrl-BA"/>
        </w:rPr>
        <w:t>приходи од доприноса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, који износе 932,4 милиона КМ у 2024. години, затим 988,2 милиона КМ у 2025. години и 1.034,6 милиона КМ у 2026. години. Такође, поменуте пројекције обухватају и пројекције прихода од ино осигурања, које према пројекцијама Фонда здравственог осигурања Републике Српске износе по 37,5 милиона КМ за сваку посматрану годину. Поред наведених прихода од доприноса, у укупним приходима од доприноса приказан је и приход од посебног доприноса за солидарност</w:t>
      </w:r>
      <w:r w:rsidRPr="002B34F1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sr-Cyrl-BA"/>
        </w:rPr>
        <w:footnoteReference w:id="14"/>
      </w:r>
      <w:r w:rsidRPr="002B34F1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 износу од 10,8 милиона КМ у 2024. години, те 11,4 </w:t>
      </w:r>
      <w:r w:rsidR="0062382A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милиона КМ у 2025. години и 12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милиона КМ у 2026. години. </w:t>
      </w:r>
    </w:p>
    <w:p w14:paraId="5240C71A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sr-Cyrl-BA"/>
        </w:rPr>
      </w:pPr>
    </w:p>
    <w:p w14:paraId="1A230A96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i/>
          <w:sz w:val="24"/>
          <w:szCs w:val="24"/>
          <w:u w:val="single"/>
          <w:lang w:val="sr-Cyrl-BA"/>
        </w:rPr>
        <w:t>Непорески приходи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фондова социјалне сигурности износе по 3,8 милиона КМ за</w:t>
      </w:r>
      <w:r w:rsidR="00534C5A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посматране године, док су очекивани </w:t>
      </w:r>
      <w:r w:rsidRPr="002B34F1">
        <w:rPr>
          <w:rFonts w:ascii="Times New Roman" w:eastAsia="Times New Roman" w:hAnsi="Times New Roman" w:cs="Times New Roman"/>
          <w:i/>
          <w:sz w:val="24"/>
          <w:szCs w:val="24"/>
          <w:u w:val="single"/>
          <w:lang w:val="sr-Cyrl-BA"/>
        </w:rPr>
        <w:t>трансфери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између или унутар јединица власти плани</w:t>
      </w:r>
      <w:r w:rsidR="0062382A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рани у износу од 341</w:t>
      </w:r>
      <w:r w:rsidR="006A7C8B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милион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КМ у 2024. години, те 337,7 милиона КМ у 2025. години и 331,2 милиона КМ у 2026. години. Највећи дио трансфера чини трансфер из буџета Републике </w:t>
      </w:r>
      <w:r w:rsidR="00417B71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Српске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који је планиран за Фонд здравственог осигурања, у складу са Законом о здравственом осигурању у износу од 171,4 милиона КМ за сваку посматрану годину. Такође, у оквиру поменуте ставке налази се и трансфер из буџета Републике </w:t>
      </w:r>
      <w:r w:rsidR="00417B71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Српске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који је планиран за Фонд </w:t>
      </w:r>
      <w:r w:rsidR="0062382A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дјечије заштите у износу од 50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милиона КМ годишње за период </w:t>
      </w:r>
      <w:r w:rsidR="006632E6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2024–2026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. годин</w:t>
      </w:r>
      <w:r w:rsidR="001151EC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="00534C5A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4D59E3AC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0C802CC2" w14:textId="77777777" w:rsidR="006C4827" w:rsidRPr="002B34F1" w:rsidRDefault="006C4827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Планирана </w:t>
      </w:r>
      <w:r w:rsidRPr="002B34F1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потрошња фондова социјалне сигурности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износи 1.285,3 милиона КМ у 2024. години, 1.349,1 милион КМ у 2025. години и 1.386,3 милиона КМ у 2026. години. Од тога, расходи износе 1.156,6 милиона КМ у 2024. години, 1.215,8 милиона КМ у 2025. години и 1.248,3 милиона КМ у 2026. години, док се планирани нето издаци за нефинансијску имовину крећу од 128,8 ми</w:t>
      </w:r>
      <w:r w:rsidR="0062382A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лиона КМ у 2024. години до 138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милиона КМ у 2026. години. Најзначајнији расходи су дознаке на име социјалне заштите које су 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 xml:space="preserve">планиране на нивоу од 1.078,9 милиона КМ до 1.168,9 милиона КМ годишње, а </w:t>
      </w:r>
      <w:r w:rsidR="0062382A"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>односе</w:t>
      </w:r>
      <w:r w:rsidRPr="002B34F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се на финансирање права на социјалну заштиту које исплаћују институције обавезног социјалног осигурања (Фонд здравственог осигурања РС, Јавни фонд за дјечију заштиту РС и ЈУ Завод за запошљавање РС). </w:t>
      </w:r>
    </w:p>
    <w:p w14:paraId="2C41B7D7" w14:textId="77777777" w:rsidR="00503BE2" w:rsidRPr="002B34F1" w:rsidRDefault="00503BE2" w:rsidP="007961F0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FF0000"/>
          <w:sz w:val="24"/>
          <w:szCs w:val="24"/>
          <w:highlight w:val="cyan"/>
          <w:lang w:val="sr-Cyrl-BA"/>
        </w:rPr>
      </w:pPr>
    </w:p>
    <w:p w14:paraId="703670C5" w14:textId="77777777" w:rsidR="00FA7EFD" w:rsidRPr="002B34F1" w:rsidRDefault="00FA7EFD" w:rsidP="007961F0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FF0000"/>
          <w:sz w:val="24"/>
          <w:szCs w:val="24"/>
          <w:highlight w:val="cyan"/>
          <w:lang w:val="sr-Cyrl-BA"/>
        </w:rPr>
      </w:pPr>
    </w:p>
    <w:p w14:paraId="73912236" w14:textId="77777777" w:rsidR="00491CC1" w:rsidRPr="002B34F1" w:rsidRDefault="00491CC1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sr-Cyrl-BA"/>
        </w:rPr>
      </w:pPr>
      <w:r w:rsidRPr="002B34F1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val="sr-Cyrl-BA"/>
        </w:rPr>
        <w:t xml:space="preserve">Јавни дуг Републике Српске </w:t>
      </w:r>
    </w:p>
    <w:p w14:paraId="21DA5A25" w14:textId="77777777" w:rsidR="00491CC1" w:rsidRPr="002B34F1" w:rsidRDefault="00491CC1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</w:p>
    <w:p w14:paraId="50C0FFE7" w14:textId="77777777" w:rsidR="00491CC1" w:rsidRPr="002B34F1" w:rsidRDefault="00491CC1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Стање јавног дуга Републике Српске на дан </w:t>
      </w:r>
      <w:r w:rsidR="004E5F12" w:rsidRPr="002B34F1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31. 12. 20</w:t>
      </w:r>
      <w:r w:rsidRPr="002B34F1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22. године износило је 5.343,7 милиона КМ (36,8% БДП-а</w:t>
      </w:r>
      <w:r w:rsidRPr="002B34F1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val="sr-Cyrl-BA"/>
        </w:rPr>
        <w:footnoteReference w:id="15"/>
      </w:r>
      <w:r w:rsidRPr="002B34F1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), док је јавни дуг који подлијеже законском ограничењу износио 5.279,1 милион КМ (36,3% БДП-а).</w:t>
      </w:r>
    </w:p>
    <w:p w14:paraId="17261F2E" w14:textId="77777777" w:rsidR="00491CC1" w:rsidRPr="002B34F1" w:rsidRDefault="00491CC1" w:rsidP="007961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2C86EE85" w14:textId="77777777" w:rsidR="00491CC1" w:rsidRPr="002B34F1" w:rsidRDefault="00491CC1" w:rsidP="007961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2B34F1">
        <w:rPr>
          <w:rFonts w:ascii="Times New Roman" w:eastAsia="Calibri" w:hAnsi="Times New Roman" w:cs="Times New Roman"/>
          <w:sz w:val="24"/>
          <w:szCs w:val="24"/>
          <w:lang w:val="sr-Cyrl-BA"/>
        </w:rPr>
        <w:t>Важно је напоменути да је мјере за фискалну консолидацију потребно спровести водећи рачуна да се не наруши поштовање фискалног правила које се односи на дуг.</w:t>
      </w:r>
    </w:p>
    <w:p w14:paraId="4F7930BE" w14:textId="77777777" w:rsidR="00491CC1" w:rsidRPr="002B34F1" w:rsidRDefault="00491CC1" w:rsidP="007961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774FCD59" w14:textId="77777777" w:rsidR="0059132D" w:rsidRPr="002B34F1" w:rsidRDefault="00491CC1" w:rsidP="007961F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</w:pPr>
      <w:r w:rsidRPr="002B34F1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У складу са планом за 2023. годину, јавни дуг који подлијеже</w:t>
      </w:r>
      <w:r w:rsidRPr="002B34F1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Pr="002B34F1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законском ограничењу износиће 5.552,7 милионa КМ (35,9% БДП-а). У складу са пројекцијама за период </w:t>
      </w:r>
      <w:r w:rsidR="006632E6" w:rsidRPr="002B34F1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2024–2026</w:t>
      </w:r>
      <w:r w:rsidRPr="002B34F1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. годин</w:t>
      </w:r>
      <w:r w:rsidR="001151EC" w:rsidRPr="002B34F1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е</w:t>
      </w:r>
      <w:r w:rsidRPr="002B34F1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, јавни дуг који подлијеже законском ограничењу износиће у 2024. години 5.883,9 милиона КМ (35,6%, БДП-а), у 2025. години </w:t>
      </w:r>
      <w:r w:rsidR="0062382A" w:rsidRPr="002B34F1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6.077</w:t>
      </w:r>
      <w:r w:rsidRPr="002B34F1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милиона КМ (34,9% БДП-а), те у 2026. години 6.294,3 милиона КМ (34,2% БДП-а).</w:t>
      </w:r>
    </w:p>
    <w:p w14:paraId="4B85D7DA" w14:textId="77777777" w:rsidR="00EC73EC" w:rsidRPr="002B34F1" w:rsidRDefault="00EC73EC" w:rsidP="007961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sectPr w:rsidR="00EC73EC" w:rsidRPr="002B34F1" w:rsidSect="00EE0EB5">
      <w:footerReference w:type="first" r:id="rId8"/>
      <w:pgSz w:w="11907" w:h="16840" w:code="9"/>
      <w:pgMar w:top="1440" w:right="1440" w:bottom="1440" w:left="1440" w:header="567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E3740" w14:textId="77777777" w:rsidR="00C562F8" w:rsidRDefault="00C562F8" w:rsidP="008C4087">
      <w:pPr>
        <w:spacing w:after="0" w:line="240" w:lineRule="auto"/>
      </w:pPr>
      <w:r>
        <w:separator/>
      </w:r>
    </w:p>
  </w:endnote>
  <w:endnote w:type="continuationSeparator" w:id="0">
    <w:p w14:paraId="55D7059B" w14:textId="77777777" w:rsidR="00C562F8" w:rsidRDefault="00C562F8" w:rsidP="008C4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9527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FB2161" w14:textId="77777777" w:rsidR="000100C7" w:rsidRDefault="000100C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D3C7009" w14:textId="77777777" w:rsidR="000100C7" w:rsidRDefault="000100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AC90D" w14:textId="77777777" w:rsidR="00C562F8" w:rsidRDefault="00C562F8" w:rsidP="008C4087">
      <w:pPr>
        <w:spacing w:after="0" w:line="240" w:lineRule="auto"/>
      </w:pPr>
      <w:r>
        <w:separator/>
      </w:r>
    </w:p>
  </w:footnote>
  <w:footnote w:type="continuationSeparator" w:id="0">
    <w:p w14:paraId="1741637C" w14:textId="77777777" w:rsidR="00C562F8" w:rsidRDefault="00C562F8" w:rsidP="008C4087">
      <w:pPr>
        <w:spacing w:after="0" w:line="240" w:lineRule="auto"/>
      </w:pPr>
      <w:r>
        <w:continuationSeparator/>
      </w:r>
    </w:p>
  </w:footnote>
  <w:footnote w:id="1">
    <w:p w14:paraId="0268570E" w14:textId="77777777" w:rsidR="000100C7" w:rsidRPr="002B34F1" w:rsidRDefault="000100C7">
      <w:pPr>
        <w:pStyle w:val="FootnoteText"/>
        <w:rPr>
          <w:rFonts w:ascii="Times New Roman" w:hAnsi="Times New Roman" w:cs="Times New Roman"/>
          <w:sz w:val="18"/>
          <w:szCs w:val="18"/>
          <w:lang w:val="sr-Cyrl-RS"/>
        </w:rPr>
      </w:pPr>
      <w:r w:rsidRPr="002B34F1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2B34F1">
        <w:rPr>
          <w:rFonts w:ascii="Times New Roman" w:hAnsi="Times New Roman" w:cs="Times New Roman"/>
          <w:sz w:val="18"/>
          <w:szCs w:val="18"/>
        </w:rPr>
        <w:t xml:space="preserve"> </w:t>
      </w:r>
      <w:r w:rsidRPr="002B34F1">
        <w:rPr>
          <w:rFonts w:ascii="Times New Roman" w:hAnsi="Times New Roman" w:cs="Times New Roman"/>
          <w:sz w:val="18"/>
          <w:szCs w:val="18"/>
          <w:lang w:val="sr-Cyrl-RS"/>
        </w:rPr>
        <w:t>Табеле су рађене према званичном консолидованом финансијском извјештају –</w:t>
      </w:r>
      <w:r w:rsidR="004E5F12" w:rsidRPr="002B34F1">
        <w:rPr>
          <w:rFonts w:ascii="Times New Roman" w:hAnsi="Times New Roman" w:cs="Times New Roman"/>
          <w:sz w:val="18"/>
          <w:szCs w:val="18"/>
          <w:lang w:val="sr-Cyrl-RS"/>
        </w:rPr>
        <w:t xml:space="preserve"> </w:t>
      </w:r>
      <w:r w:rsidRPr="002B34F1">
        <w:rPr>
          <w:rFonts w:ascii="Times New Roman" w:hAnsi="Times New Roman" w:cs="Times New Roman"/>
          <w:sz w:val="18"/>
          <w:szCs w:val="18"/>
          <w:lang w:val="sr-Cyrl-RS"/>
        </w:rPr>
        <w:t>ПИФ-у за 202</w:t>
      </w:r>
      <w:r w:rsidR="00302E31" w:rsidRPr="002B34F1">
        <w:rPr>
          <w:rFonts w:ascii="Times New Roman" w:hAnsi="Times New Roman" w:cs="Times New Roman"/>
          <w:sz w:val="18"/>
          <w:szCs w:val="18"/>
          <w:lang w:val="sr-Cyrl-RS"/>
        </w:rPr>
        <w:t>2</w:t>
      </w:r>
      <w:r w:rsidRPr="002B34F1">
        <w:rPr>
          <w:rFonts w:ascii="Times New Roman" w:hAnsi="Times New Roman" w:cs="Times New Roman"/>
          <w:sz w:val="18"/>
          <w:szCs w:val="18"/>
          <w:lang w:val="sr-Cyrl-RS"/>
        </w:rPr>
        <w:t>. годину</w:t>
      </w:r>
      <w:r w:rsidR="009B0535" w:rsidRPr="002B34F1">
        <w:rPr>
          <w:rFonts w:ascii="Times New Roman" w:hAnsi="Times New Roman" w:cs="Times New Roman"/>
          <w:sz w:val="18"/>
          <w:szCs w:val="18"/>
        </w:rPr>
        <w:t xml:space="preserve"> </w:t>
      </w:r>
      <w:r w:rsidR="009B0535" w:rsidRPr="002B34F1">
        <w:rPr>
          <w:rFonts w:ascii="Times New Roman" w:hAnsi="Times New Roman" w:cs="Times New Roman"/>
          <w:sz w:val="18"/>
          <w:szCs w:val="18"/>
          <w:lang w:val="sr-Cyrl-RS"/>
        </w:rPr>
        <w:t>(</w:t>
      </w:r>
      <w:r w:rsidR="00BD76D7" w:rsidRPr="002B34F1">
        <w:rPr>
          <w:rFonts w:ascii="Times New Roman" w:hAnsi="Times New Roman" w:cs="Times New Roman"/>
          <w:sz w:val="18"/>
          <w:szCs w:val="18"/>
          <w:lang w:val="sr-Cyrl-RS"/>
        </w:rPr>
        <w:t>са додатим</w:t>
      </w:r>
      <w:r w:rsidR="009B0535" w:rsidRPr="002B34F1">
        <w:rPr>
          <w:rFonts w:ascii="Times New Roman" w:hAnsi="Times New Roman" w:cs="Times New Roman"/>
          <w:sz w:val="18"/>
          <w:szCs w:val="18"/>
          <w:lang w:val="sr-Cyrl-RS"/>
        </w:rPr>
        <w:t xml:space="preserve"> укалкулисаним обавезама)</w:t>
      </w:r>
      <w:r w:rsidR="004E5F12" w:rsidRPr="002B34F1">
        <w:rPr>
          <w:rFonts w:ascii="Times New Roman" w:hAnsi="Times New Roman" w:cs="Times New Roman"/>
          <w:sz w:val="18"/>
          <w:szCs w:val="18"/>
          <w:lang w:val="sr-Cyrl-RS"/>
        </w:rPr>
        <w:t>.</w:t>
      </w:r>
    </w:p>
  </w:footnote>
  <w:footnote w:id="2">
    <w:p w14:paraId="77E06683" w14:textId="77777777" w:rsidR="007F35B0" w:rsidRPr="002B34F1" w:rsidRDefault="007F35B0" w:rsidP="007F35B0">
      <w:pPr>
        <w:pStyle w:val="FootnoteText"/>
        <w:rPr>
          <w:rFonts w:ascii="Times New Roman" w:hAnsi="Times New Roman" w:cs="Times New Roman"/>
          <w:sz w:val="18"/>
          <w:szCs w:val="18"/>
          <w:lang w:val="sr-Cyrl-RS"/>
        </w:rPr>
      </w:pPr>
      <w:r w:rsidRPr="002B34F1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2B34F1">
        <w:rPr>
          <w:rFonts w:ascii="Times New Roman" w:hAnsi="Times New Roman" w:cs="Times New Roman"/>
          <w:sz w:val="18"/>
          <w:szCs w:val="18"/>
        </w:rPr>
        <w:t xml:space="preserve"> </w:t>
      </w:r>
      <w:r w:rsidR="00EE0EB5" w:rsidRPr="002B34F1">
        <w:rPr>
          <w:rFonts w:ascii="Times New Roman" w:hAnsi="Times New Roman" w:cs="Times New Roman"/>
          <w:sz w:val="18"/>
          <w:szCs w:val="18"/>
          <w:lang w:val="sr-Cyrl-RS"/>
        </w:rPr>
        <w:t>П</w:t>
      </w:r>
      <w:r w:rsidRPr="002B34F1">
        <w:rPr>
          <w:rFonts w:ascii="Times New Roman" w:hAnsi="Times New Roman" w:cs="Times New Roman"/>
          <w:sz w:val="18"/>
          <w:szCs w:val="18"/>
          <w:lang w:val="sr-Cyrl-RS"/>
        </w:rPr>
        <w:t xml:space="preserve">рема ревидираним подацима из </w:t>
      </w:r>
      <w:r w:rsidRPr="002B34F1">
        <w:rPr>
          <w:rFonts w:ascii="Times New Roman" w:hAnsi="Times New Roman" w:cs="Times New Roman"/>
          <w:sz w:val="18"/>
          <w:szCs w:val="18"/>
          <w:lang w:val="sr-Cyrl-RS"/>
        </w:rPr>
        <w:t>ПИФ-</w:t>
      </w:r>
      <w:r w:rsidR="002C1518" w:rsidRPr="002B34F1">
        <w:rPr>
          <w:rFonts w:ascii="Times New Roman" w:hAnsi="Times New Roman" w:cs="Times New Roman"/>
          <w:sz w:val="18"/>
          <w:szCs w:val="18"/>
          <w:lang w:val="sr-Cyrl-RS"/>
        </w:rPr>
        <w:t>а</w:t>
      </w:r>
      <w:r w:rsidRPr="002B34F1">
        <w:rPr>
          <w:rFonts w:ascii="Times New Roman" w:hAnsi="Times New Roman" w:cs="Times New Roman"/>
          <w:sz w:val="18"/>
          <w:szCs w:val="18"/>
          <w:lang w:val="sr-Cyrl-RS"/>
        </w:rPr>
        <w:t xml:space="preserve"> за 2022. годину</w:t>
      </w:r>
      <w:r w:rsidR="004A3354" w:rsidRPr="002B34F1">
        <w:rPr>
          <w:rFonts w:ascii="Times New Roman" w:hAnsi="Times New Roman" w:cs="Times New Roman"/>
          <w:sz w:val="18"/>
          <w:szCs w:val="18"/>
          <w:lang w:val="sr-Cyrl-RS"/>
        </w:rPr>
        <w:t xml:space="preserve"> (са додатим укалкулисаним обавезама)</w:t>
      </w:r>
      <w:r w:rsidR="00EE0EB5" w:rsidRPr="002B34F1">
        <w:rPr>
          <w:rFonts w:ascii="Times New Roman" w:hAnsi="Times New Roman" w:cs="Times New Roman"/>
          <w:sz w:val="18"/>
          <w:szCs w:val="18"/>
          <w:lang w:val="sr-Cyrl-RS"/>
        </w:rPr>
        <w:t>.</w:t>
      </w:r>
    </w:p>
  </w:footnote>
  <w:footnote w:id="3">
    <w:p w14:paraId="76C99E4B" w14:textId="77777777" w:rsidR="00A57437" w:rsidRPr="002B34F1" w:rsidRDefault="00A57437" w:rsidP="00A57437">
      <w:pPr>
        <w:pStyle w:val="FootnoteText"/>
        <w:tabs>
          <w:tab w:val="left" w:pos="0"/>
        </w:tabs>
        <w:rPr>
          <w:rFonts w:ascii="Times New Roman" w:hAnsi="Times New Roman" w:cs="Times New Roman"/>
          <w:sz w:val="18"/>
          <w:szCs w:val="18"/>
          <w:lang w:val="sr-Cyrl-RS"/>
        </w:rPr>
      </w:pPr>
      <w:r w:rsidRPr="002B34F1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2B34F1">
        <w:rPr>
          <w:rFonts w:ascii="Times New Roman" w:hAnsi="Times New Roman" w:cs="Times New Roman"/>
          <w:sz w:val="18"/>
          <w:szCs w:val="18"/>
        </w:rPr>
        <w:t xml:space="preserve"> </w:t>
      </w:r>
      <w:r w:rsidR="00376D88" w:rsidRPr="002B34F1">
        <w:rPr>
          <w:rFonts w:ascii="Times New Roman" w:hAnsi="Times New Roman" w:cs="Times New Roman"/>
          <w:iCs/>
          <w:sz w:val="18"/>
          <w:szCs w:val="18"/>
          <w:lang w:val="sr-Cyrl-CS"/>
        </w:rPr>
        <w:t>„</w:t>
      </w:r>
      <w:r w:rsidRPr="002B34F1">
        <w:rPr>
          <w:rFonts w:ascii="Times New Roman" w:hAnsi="Times New Roman" w:cs="Times New Roman"/>
          <w:iCs/>
          <w:sz w:val="18"/>
          <w:szCs w:val="18"/>
          <w:lang w:val="sr-Cyrl-CS"/>
        </w:rPr>
        <w:t>Службени гласник Р</w:t>
      </w:r>
      <w:r w:rsidRPr="002B34F1">
        <w:rPr>
          <w:rFonts w:ascii="Times New Roman" w:hAnsi="Times New Roman" w:cs="Times New Roman"/>
          <w:iCs/>
          <w:sz w:val="18"/>
          <w:szCs w:val="18"/>
          <w:lang w:val="sr-Cyrl-RS"/>
        </w:rPr>
        <w:t xml:space="preserve">епублике </w:t>
      </w:r>
      <w:r w:rsidR="00376D88" w:rsidRPr="002B34F1">
        <w:rPr>
          <w:rFonts w:ascii="Times New Roman" w:hAnsi="Times New Roman" w:cs="Times New Roman"/>
          <w:iCs/>
          <w:sz w:val="18"/>
          <w:szCs w:val="18"/>
          <w:lang w:val="sr-Cyrl-CS"/>
        </w:rPr>
        <w:t>Српске“</w:t>
      </w:r>
      <w:r w:rsidRPr="002B34F1">
        <w:rPr>
          <w:rFonts w:ascii="Times New Roman" w:hAnsi="Times New Roman" w:cs="Times New Roman"/>
          <w:iCs/>
          <w:sz w:val="18"/>
          <w:szCs w:val="18"/>
          <w:lang w:val="sr-Cyrl-CS"/>
        </w:rPr>
        <w:t>, број 42/22</w:t>
      </w:r>
      <w:r w:rsidR="00EE0EB5" w:rsidRPr="002B34F1">
        <w:rPr>
          <w:rFonts w:ascii="Times New Roman" w:hAnsi="Times New Roman" w:cs="Times New Roman"/>
          <w:iCs/>
          <w:sz w:val="18"/>
          <w:szCs w:val="18"/>
          <w:lang w:val="sr-Cyrl-CS"/>
        </w:rPr>
        <w:t>.</w:t>
      </w:r>
    </w:p>
  </w:footnote>
  <w:footnote w:id="4">
    <w:p w14:paraId="2FCA87BA" w14:textId="77777777" w:rsidR="00A57437" w:rsidRPr="002B34F1" w:rsidRDefault="00A57437" w:rsidP="00A57437">
      <w:pPr>
        <w:pStyle w:val="FootnoteText"/>
        <w:rPr>
          <w:rFonts w:ascii="Times New Roman" w:hAnsi="Times New Roman" w:cs="Times New Roman"/>
          <w:lang w:val="sr-Cyrl-RS"/>
        </w:rPr>
      </w:pPr>
      <w:r w:rsidRPr="002B34F1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2B34F1">
        <w:rPr>
          <w:rFonts w:ascii="Times New Roman" w:hAnsi="Times New Roman" w:cs="Times New Roman"/>
          <w:sz w:val="18"/>
          <w:szCs w:val="18"/>
        </w:rPr>
        <w:t xml:space="preserve"> </w:t>
      </w:r>
      <w:r w:rsidR="0032440B" w:rsidRPr="002B34F1">
        <w:rPr>
          <w:rFonts w:ascii="Times New Roman" w:hAnsi="Times New Roman" w:cs="Times New Roman"/>
          <w:sz w:val="18"/>
          <w:szCs w:val="18"/>
          <w:lang w:val="sr-Cyrl-RS"/>
        </w:rPr>
        <w:t>„</w:t>
      </w:r>
      <w:r w:rsidRPr="002B34F1">
        <w:rPr>
          <w:rFonts w:ascii="Times New Roman" w:hAnsi="Times New Roman" w:cs="Times New Roman"/>
          <w:sz w:val="18"/>
          <w:szCs w:val="18"/>
          <w:lang w:val="sr-Cyrl-CS"/>
        </w:rPr>
        <w:t>Службени гласник Републике Српске</w:t>
      </w:r>
      <w:r w:rsidR="00376D88" w:rsidRPr="002B34F1">
        <w:rPr>
          <w:rFonts w:ascii="Times New Roman" w:hAnsi="Times New Roman" w:cs="Times New Roman"/>
          <w:sz w:val="18"/>
          <w:szCs w:val="18"/>
          <w:lang w:val="sr-Cyrl-CS"/>
        </w:rPr>
        <w:t>“</w:t>
      </w:r>
      <w:r w:rsidRPr="002B34F1">
        <w:rPr>
          <w:rFonts w:ascii="Times New Roman" w:hAnsi="Times New Roman" w:cs="Times New Roman"/>
          <w:sz w:val="18"/>
          <w:szCs w:val="18"/>
          <w:lang w:val="sr-Cyrl-CS"/>
        </w:rPr>
        <w:t>, број 68/22</w:t>
      </w:r>
      <w:r w:rsidR="00EE0EB5" w:rsidRPr="002B34F1">
        <w:rPr>
          <w:rFonts w:ascii="Times New Roman" w:hAnsi="Times New Roman" w:cs="Times New Roman"/>
          <w:sz w:val="18"/>
          <w:szCs w:val="18"/>
          <w:lang w:val="sr-Cyrl-CS"/>
        </w:rPr>
        <w:t>.</w:t>
      </w:r>
    </w:p>
  </w:footnote>
  <w:footnote w:id="5">
    <w:p w14:paraId="07C5B461" w14:textId="77777777" w:rsidR="00A57437" w:rsidRPr="002B34F1" w:rsidRDefault="00A57437" w:rsidP="00A57437">
      <w:pPr>
        <w:pStyle w:val="FootnoteText"/>
        <w:rPr>
          <w:rFonts w:ascii="Times New Roman" w:hAnsi="Times New Roman" w:cs="Times New Roman"/>
          <w:sz w:val="18"/>
          <w:szCs w:val="18"/>
          <w:lang w:val="sr-Cyrl-BA"/>
        </w:rPr>
      </w:pPr>
      <w:r w:rsidRPr="002B34F1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2B34F1">
        <w:rPr>
          <w:rFonts w:ascii="Times New Roman" w:hAnsi="Times New Roman" w:cs="Times New Roman"/>
          <w:sz w:val="18"/>
          <w:szCs w:val="18"/>
        </w:rPr>
        <w:t xml:space="preserve"> „</w:t>
      </w:r>
      <w:r w:rsidRPr="002B34F1">
        <w:rPr>
          <w:rFonts w:ascii="Times New Roman" w:hAnsi="Times New Roman" w:cs="Times New Roman"/>
          <w:sz w:val="18"/>
          <w:szCs w:val="18"/>
        </w:rPr>
        <w:t>Службени гласник Републике Српске“, број 45/22</w:t>
      </w:r>
      <w:r w:rsidR="00EE0EB5" w:rsidRPr="002B34F1">
        <w:rPr>
          <w:rFonts w:ascii="Times New Roman" w:hAnsi="Times New Roman" w:cs="Times New Roman"/>
          <w:sz w:val="18"/>
          <w:szCs w:val="18"/>
          <w:lang w:val="sr-Cyrl-BA"/>
        </w:rPr>
        <w:t>.</w:t>
      </w:r>
    </w:p>
  </w:footnote>
  <w:footnote w:id="6">
    <w:p w14:paraId="46A59D7E" w14:textId="77777777" w:rsidR="00B01D29" w:rsidRPr="002B34F1" w:rsidRDefault="00B01D29" w:rsidP="00B01D29">
      <w:pPr>
        <w:pStyle w:val="FootnoteText"/>
        <w:jc w:val="both"/>
        <w:rPr>
          <w:rFonts w:ascii="Times New Roman" w:hAnsi="Times New Roman" w:cs="Times New Roman"/>
          <w:sz w:val="18"/>
          <w:szCs w:val="18"/>
          <w:lang w:val="sr-Cyrl-BA"/>
        </w:rPr>
      </w:pPr>
      <w:r w:rsidRPr="002B34F1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2B34F1">
        <w:rPr>
          <w:rFonts w:ascii="Times New Roman" w:hAnsi="Times New Roman" w:cs="Times New Roman"/>
          <w:sz w:val="18"/>
          <w:szCs w:val="18"/>
          <w:lang w:val="sr-Cyrl-BA"/>
        </w:rPr>
        <w:t xml:space="preserve"> У ЈУ Јавни фонд дјечије заштите је након извршене анализе суфицита расположивог за расподјелу утврђен износ од </w:t>
      </w:r>
      <w:r w:rsidRPr="002B34F1">
        <w:rPr>
          <w:rFonts w:ascii="Times New Roman" w:hAnsi="Times New Roman" w:cs="Times New Roman"/>
          <w:sz w:val="18"/>
          <w:szCs w:val="18"/>
          <w:lang w:val="sr-Latn-RS"/>
        </w:rPr>
        <w:t>cc</w:t>
      </w:r>
      <w:r w:rsidR="006A46A4" w:rsidRPr="002B34F1">
        <w:rPr>
          <w:rFonts w:ascii="Times New Roman" w:hAnsi="Times New Roman" w:cs="Times New Roman"/>
          <w:sz w:val="18"/>
          <w:szCs w:val="18"/>
          <w:lang w:val="sr-Cyrl-BA"/>
        </w:rPr>
        <w:t xml:space="preserve"> 15</w:t>
      </w:r>
      <w:r w:rsidRPr="002B34F1">
        <w:rPr>
          <w:rFonts w:ascii="Times New Roman" w:hAnsi="Times New Roman" w:cs="Times New Roman"/>
          <w:sz w:val="18"/>
          <w:szCs w:val="18"/>
          <w:lang w:val="sr-Cyrl-BA"/>
        </w:rPr>
        <w:t xml:space="preserve"> милиона КМ неутрошених намјенских средстава из којих је вршено финансирање расхода у 2022. години, што је видљиво у извјештају Фонда на дан 31.</w:t>
      </w:r>
      <w:r w:rsidR="00EE0EB5" w:rsidRPr="002B34F1">
        <w:rPr>
          <w:rFonts w:ascii="Times New Roman" w:hAnsi="Times New Roman" w:cs="Times New Roman"/>
          <w:sz w:val="18"/>
          <w:szCs w:val="18"/>
          <w:lang w:val="sr-Cyrl-BA"/>
        </w:rPr>
        <w:t xml:space="preserve"> </w:t>
      </w:r>
      <w:r w:rsidRPr="002B34F1">
        <w:rPr>
          <w:rFonts w:ascii="Times New Roman" w:hAnsi="Times New Roman" w:cs="Times New Roman"/>
          <w:sz w:val="18"/>
          <w:szCs w:val="18"/>
          <w:lang w:val="sr-Cyrl-BA"/>
        </w:rPr>
        <w:t>12.</w:t>
      </w:r>
      <w:r w:rsidR="00EE0EB5" w:rsidRPr="002B34F1">
        <w:rPr>
          <w:rFonts w:ascii="Times New Roman" w:hAnsi="Times New Roman" w:cs="Times New Roman"/>
          <w:sz w:val="18"/>
          <w:szCs w:val="18"/>
          <w:lang w:val="sr-Cyrl-BA"/>
        </w:rPr>
        <w:t xml:space="preserve"> </w:t>
      </w:r>
      <w:r w:rsidRPr="002B34F1">
        <w:rPr>
          <w:rFonts w:ascii="Times New Roman" w:hAnsi="Times New Roman" w:cs="Times New Roman"/>
          <w:sz w:val="18"/>
          <w:szCs w:val="18"/>
          <w:lang w:val="sr-Cyrl-BA"/>
        </w:rPr>
        <w:t>2022. године</w:t>
      </w:r>
      <w:r w:rsidR="006A46A4" w:rsidRPr="002B34F1">
        <w:rPr>
          <w:rFonts w:ascii="Times New Roman" w:hAnsi="Times New Roman" w:cs="Times New Roman"/>
          <w:sz w:val="18"/>
          <w:szCs w:val="18"/>
        </w:rPr>
        <w:t>,</w:t>
      </w:r>
      <w:r w:rsidRPr="002B34F1">
        <w:rPr>
          <w:rFonts w:ascii="Times New Roman" w:hAnsi="Times New Roman" w:cs="Times New Roman"/>
          <w:sz w:val="18"/>
          <w:szCs w:val="18"/>
          <w:lang w:val="sr-Cyrl-BA"/>
        </w:rPr>
        <w:t xml:space="preserve"> </w:t>
      </w:r>
      <w:r w:rsidR="00EE0EB5" w:rsidRPr="002B34F1">
        <w:rPr>
          <w:rFonts w:ascii="Times New Roman" w:hAnsi="Times New Roman" w:cs="Times New Roman"/>
          <w:sz w:val="18"/>
          <w:szCs w:val="18"/>
          <w:lang w:val="sr-Cyrl-BA"/>
        </w:rPr>
        <w:t xml:space="preserve">с </w:t>
      </w:r>
      <w:r w:rsidRPr="002B34F1">
        <w:rPr>
          <w:rFonts w:ascii="Times New Roman" w:hAnsi="Times New Roman" w:cs="Times New Roman"/>
          <w:sz w:val="18"/>
          <w:szCs w:val="18"/>
          <w:lang w:val="sr-Cyrl-BA"/>
        </w:rPr>
        <w:t>обзиром</w:t>
      </w:r>
      <w:r w:rsidR="00EE0EB5" w:rsidRPr="002B34F1">
        <w:rPr>
          <w:rFonts w:ascii="Times New Roman" w:hAnsi="Times New Roman" w:cs="Times New Roman"/>
          <w:sz w:val="18"/>
          <w:szCs w:val="18"/>
          <w:lang w:val="sr-Cyrl-BA"/>
        </w:rPr>
        <w:t xml:space="preserve"> на то</w:t>
      </w:r>
      <w:r w:rsidRPr="002B34F1">
        <w:rPr>
          <w:rFonts w:ascii="Times New Roman" w:hAnsi="Times New Roman" w:cs="Times New Roman"/>
          <w:sz w:val="18"/>
          <w:szCs w:val="18"/>
          <w:lang w:val="sr-Cyrl-BA"/>
        </w:rPr>
        <w:t xml:space="preserve"> да је остварена позитивна нето разлика у финансирању исказана у износ</w:t>
      </w:r>
      <w:r w:rsidR="00EE0EB5" w:rsidRPr="002B34F1">
        <w:rPr>
          <w:rFonts w:ascii="Times New Roman" w:hAnsi="Times New Roman" w:cs="Times New Roman"/>
          <w:sz w:val="18"/>
          <w:szCs w:val="18"/>
          <w:lang w:val="sr-Cyrl-BA"/>
        </w:rPr>
        <w:t>у од 2</w:t>
      </w:r>
      <w:r w:rsidRPr="002B34F1">
        <w:rPr>
          <w:rFonts w:ascii="Times New Roman" w:hAnsi="Times New Roman" w:cs="Times New Roman"/>
          <w:sz w:val="18"/>
          <w:szCs w:val="18"/>
          <w:lang w:val="sr-Cyrl-BA"/>
        </w:rPr>
        <w:t xml:space="preserve"> милиона КМ.</w:t>
      </w:r>
    </w:p>
  </w:footnote>
  <w:footnote w:id="7">
    <w:p w14:paraId="5A97C3B6" w14:textId="77777777" w:rsidR="00A13902" w:rsidRPr="002B34F1" w:rsidRDefault="00A13902" w:rsidP="00B05233">
      <w:pPr>
        <w:pStyle w:val="FootnoteText"/>
        <w:jc w:val="both"/>
        <w:rPr>
          <w:rFonts w:ascii="Times New Roman" w:hAnsi="Times New Roman" w:cs="Times New Roman"/>
          <w:sz w:val="18"/>
          <w:szCs w:val="18"/>
          <w:lang w:val="sr-Cyrl-RS"/>
        </w:rPr>
      </w:pPr>
      <w:r w:rsidRPr="002B34F1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2B34F1">
        <w:rPr>
          <w:rFonts w:ascii="Times New Roman" w:hAnsi="Times New Roman" w:cs="Times New Roman"/>
          <w:sz w:val="18"/>
          <w:szCs w:val="18"/>
        </w:rPr>
        <w:t xml:space="preserve"> </w:t>
      </w:r>
      <w:r w:rsidRPr="002B34F1">
        <w:rPr>
          <w:rFonts w:ascii="Times New Roman" w:hAnsi="Times New Roman" w:cs="Times New Roman"/>
          <w:sz w:val="18"/>
          <w:szCs w:val="18"/>
        </w:rPr>
        <w:t>Области Б, Ц, Д и Е – Вађење руда и камена, Прерађивачка индустрија, Производња и снабдијевање електричном енергијом, гасом, паром и климатизација и Снабдијевање водом, канализација, управљање отпадом и дјелатности санације (ремедијације) животне средине.</w:t>
      </w:r>
    </w:p>
  </w:footnote>
  <w:footnote w:id="8">
    <w:p w14:paraId="0B3C0E43" w14:textId="77777777" w:rsidR="00A13902" w:rsidRPr="002B34F1" w:rsidRDefault="00A13902" w:rsidP="00A13902">
      <w:pPr>
        <w:pStyle w:val="FootnoteText"/>
        <w:rPr>
          <w:rFonts w:ascii="Times New Roman" w:hAnsi="Times New Roman" w:cs="Times New Roman"/>
          <w:lang w:val="sr-Cyrl-RS"/>
        </w:rPr>
      </w:pPr>
      <w:r w:rsidRPr="002B34F1">
        <w:rPr>
          <w:rStyle w:val="FootnoteReference"/>
          <w:rFonts w:ascii="Times New Roman" w:eastAsiaTheme="majorEastAsia" w:hAnsi="Times New Roman" w:cs="Times New Roman"/>
          <w:sz w:val="18"/>
          <w:szCs w:val="18"/>
        </w:rPr>
        <w:footnoteRef/>
      </w:r>
      <w:r w:rsidRPr="002B34F1">
        <w:rPr>
          <w:rFonts w:ascii="Times New Roman" w:hAnsi="Times New Roman" w:cs="Times New Roman"/>
          <w:sz w:val="18"/>
          <w:szCs w:val="18"/>
        </w:rPr>
        <w:t xml:space="preserve"> </w:t>
      </w:r>
      <w:r w:rsidRPr="002B34F1">
        <w:rPr>
          <w:rFonts w:ascii="Times New Roman" w:hAnsi="Times New Roman" w:cs="Times New Roman"/>
          <w:sz w:val="18"/>
          <w:szCs w:val="18"/>
          <w:lang w:val="sr-Cyrl-RS"/>
        </w:rPr>
        <w:t xml:space="preserve">Према Календару публиковања РЗС РС, подаци о запосленима објављују се у јулу и децембру. </w:t>
      </w:r>
    </w:p>
  </w:footnote>
  <w:footnote w:id="9">
    <w:p w14:paraId="19FBDE75" w14:textId="77777777" w:rsidR="006C4827" w:rsidRPr="002B34F1" w:rsidRDefault="006C4827" w:rsidP="006C4827">
      <w:pPr>
        <w:pStyle w:val="FootnoteText"/>
        <w:jc w:val="both"/>
        <w:rPr>
          <w:rFonts w:ascii="Times New Roman" w:hAnsi="Times New Roman" w:cs="Times New Roman"/>
          <w:sz w:val="18"/>
          <w:szCs w:val="18"/>
          <w:lang w:val="sr-Cyrl-RS"/>
        </w:rPr>
      </w:pPr>
      <w:r w:rsidRPr="002B34F1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2B34F1">
        <w:rPr>
          <w:rFonts w:ascii="Times New Roman" w:hAnsi="Times New Roman" w:cs="Times New Roman"/>
          <w:sz w:val="18"/>
          <w:szCs w:val="18"/>
        </w:rPr>
        <w:t xml:space="preserve"> </w:t>
      </w:r>
      <w:r w:rsidRPr="002B34F1">
        <w:rPr>
          <w:rFonts w:ascii="Times New Roman" w:eastAsia="Times New Roman" w:hAnsi="Times New Roman" w:cs="Times New Roman"/>
          <w:sz w:val="18"/>
          <w:szCs w:val="18"/>
          <w:lang w:val="ru-RU"/>
        </w:rPr>
        <w:t>Остали порези на имовину и</w:t>
      </w:r>
      <w:r w:rsidRPr="002B34F1">
        <w:rPr>
          <w:rFonts w:ascii="Times New Roman" w:eastAsia="Times New Roman" w:hAnsi="Times New Roman" w:cs="Times New Roman"/>
          <w:sz w:val="18"/>
          <w:szCs w:val="18"/>
          <w:lang w:val="sr-Cyrl-RS"/>
        </w:rPr>
        <w:t xml:space="preserve"> индиректни порези ван ЈРУИО који </w:t>
      </w:r>
      <w:r w:rsidRPr="002B34F1">
        <w:rPr>
          <w:rFonts w:ascii="Times New Roman" w:eastAsia="Times New Roman" w:hAnsi="Times New Roman" w:cs="Times New Roman"/>
          <w:sz w:val="18"/>
          <w:szCs w:val="18"/>
          <w:lang w:val="ru-RU"/>
        </w:rPr>
        <w:t>се уплаћују директно на рачун јавних прихода Републике Српске, а ријеч је о уплатама пореских обвезника по основу неизмирених/репрограмира</w:t>
      </w:r>
      <w:r w:rsidR="00AD0470" w:rsidRPr="002B34F1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них обавеза које су настале до 1. јануара </w:t>
      </w:r>
      <w:r w:rsidRPr="002B34F1">
        <w:rPr>
          <w:rFonts w:ascii="Times New Roman" w:eastAsia="Times New Roman" w:hAnsi="Times New Roman" w:cs="Times New Roman"/>
          <w:sz w:val="18"/>
          <w:szCs w:val="18"/>
          <w:lang w:val="ru-RU"/>
        </w:rPr>
        <w:t>2006. године, тј. до момента увођења ПДВ-а, када је наплата индиректних прихода прешла у надлежност Управе за индиректно опорезивање.</w:t>
      </w:r>
    </w:p>
  </w:footnote>
  <w:footnote w:id="10">
    <w:p w14:paraId="6E91F83B" w14:textId="77777777" w:rsidR="006C4827" w:rsidRPr="002B34F1" w:rsidRDefault="006C4827" w:rsidP="006C4827">
      <w:pPr>
        <w:pStyle w:val="FootnoteText"/>
        <w:jc w:val="both"/>
        <w:rPr>
          <w:rFonts w:ascii="Times New Roman" w:hAnsi="Times New Roman" w:cs="Times New Roman"/>
          <w:sz w:val="18"/>
          <w:szCs w:val="18"/>
          <w:lang w:val="sr-Cyrl-RS"/>
        </w:rPr>
      </w:pPr>
      <w:r w:rsidRPr="002B34F1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2B34F1">
        <w:rPr>
          <w:rFonts w:ascii="Times New Roman" w:hAnsi="Times New Roman" w:cs="Times New Roman"/>
          <w:sz w:val="18"/>
          <w:szCs w:val="18"/>
        </w:rPr>
        <w:t xml:space="preserve"> </w:t>
      </w:r>
      <w:r w:rsidRPr="002B34F1">
        <w:rPr>
          <w:rFonts w:ascii="Times New Roman" w:eastAsia="Times New Roman" w:hAnsi="Times New Roman" w:cs="Times New Roman"/>
          <w:sz w:val="18"/>
          <w:szCs w:val="18"/>
          <w:lang w:val="sr-Cyrl-RS"/>
        </w:rPr>
        <w:t>Непорески приходи обухватају: приходе од финансијске и нефинансијске имовине и позитивних курсних разлика, накнаде, таксе, приходе од пружања јавних услуга, новчане казне и остале непореске приходе.</w:t>
      </w:r>
    </w:p>
  </w:footnote>
  <w:footnote w:id="11">
    <w:p w14:paraId="70ECE571" w14:textId="77777777" w:rsidR="006C4827" w:rsidRPr="002B34F1" w:rsidRDefault="006C4827" w:rsidP="006C4827">
      <w:pPr>
        <w:pStyle w:val="FootnoteText"/>
        <w:jc w:val="both"/>
        <w:rPr>
          <w:rFonts w:ascii="Times New Roman" w:hAnsi="Times New Roman" w:cs="Times New Roman"/>
          <w:lang w:val="sr-Cyrl-RS"/>
        </w:rPr>
      </w:pPr>
      <w:r w:rsidRPr="002B34F1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2B34F1">
        <w:rPr>
          <w:rFonts w:ascii="Times New Roman" w:hAnsi="Times New Roman" w:cs="Times New Roman"/>
          <w:sz w:val="18"/>
          <w:szCs w:val="18"/>
        </w:rPr>
        <w:t xml:space="preserve"> </w:t>
      </w:r>
      <w:r w:rsidRPr="002B34F1">
        <w:rPr>
          <w:rFonts w:ascii="Times New Roman" w:eastAsia="Times New Roman" w:hAnsi="Times New Roman" w:cs="Times New Roman"/>
          <w:iCs/>
          <w:sz w:val="18"/>
          <w:szCs w:val="18"/>
          <w:lang w:val="sr-Cyrl-RS"/>
        </w:rPr>
        <w:t>Расходи за лична примања запослених су планирани у складу са Законом о платама запослених у органима управе Републике Српске, Законом о платама и накнадама судија и тужилаца у Републици Српској, Законом о платама запослених у јавним службама Републике Српске, те Законом о платама запослених лица у јавним установама у области здравства Републике Српске.</w:t>
      </w:r>
    </w:p>
  </w:footnote>
  <w:footnote w:id="12">
    <w:p w14:paraId="4B2B238D" w14:textId="77777777" w:rsidR="006C4827" w:rsidRPr="002B34F1" w:rsidRDefault="006C4827" w:rsidP="006C4827">
      <w:pPr>
        <w:pStyle w:val="FootnoteText"/>
        <w:jc w:val="both"/>
        <w:rPr>
          <w:rFonts w:ascii="Times New Roman" w:hAnsi="Times New Roman" w:cs="Times New Roman"/>
          <w:sz w:val="18"/>
          <w:szCs w:val="18"/>
          <w:lang w:val="sr-Cyrl-RS"/>
        </w:rPr>
      </w:pPr>
      <w:r w:rsidRPr="002B34F1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2B34F1">
        <w:rPr>
          <w:rFonts w:ascii="Times New Roman" w:hAnsi="Times New Roman" w:cs="Times New Roman"/>
          <w:sz w:val="18"/>
          <w:szCs w:val="18"/>
        </w:rPr>
        <w:t xml:space="preserve"> </w:t>
      </w:r>
      <w:r w:rsidRPr="002B34F1">
        <w:rPr>
          <w:rFonts w:ascii="Times New Roman" w:eastAsia="Times New Roman" w:hAnsi="Times New Roman" w:cs="Times New Roman"/>
          <w:sz w:val="18"/>
          <w:szCs w:val="18"/>
          <w:lang w:val="sr-Cyrl-BA"/>
        </w:rPr>
        <w:t>У складу са</w:t>
      </w:r>
      <w:r w:rsidRPr="002B34F1">
        <w:rPr>
          <w:rFonts w:ascii="Times New Roman" w:eastAsia="Times New Roman" w:hAnsi="Times New Roman" w:cs="Times New Roman"/>
          <w:sz w:val="18"/>
          <w:szCs w:val="18"/>
          <w:lang w:val="hr-BA"/>
        </w:rPr>
        <w:t xml:space="preserve"> Закон</w:t>
      </w:r>
      <w:r w:rsidRPr="002B34F1">
        <w:rPr>
          <w:rFonts w:ascii="Times New Roman" w:eastAsia="Times New Roman" w:hAnsi="Times New Roman" w:cs="Times New Roman"/>
          <w:sz w:val="18"/>
          <w:szCs w:val="18"/>
          <w:lang w:val="sr-Cyrl-RS"/>
        </w:rPr>
        <w:t>ом</w:t>
      </w:r>
      <w:r w:rsidRPr="002B34F1">
        <w:rPr>
          <w:rFonts w:ascii="Times New Roman" w:eastAsia="Times New Roman" w:hAnsi="Times New Roman" w:cs="Times New Roman"/>
          <w:sz w:val="18"/>
          <w:szCs w:val="18"/>
          <w:lang w:val="hr-BA"/>
        </w:rPr>
        <w:t xml:space="preserve"> о буџетском систему Републике Српске</w:t>
      </w:r>
      <w:r w:rsidRPr="002B34F1">
        <w:rPr>
          <w:rFonts w:ascii="Times New Roman" w:eastAsia="Times New Roman" w:hAnsi="Times New Roman" w:cs="Times New Roman"/>
          <w:sz w:val="18"/>
          <w:szCs w:val="18"/>
          <w:lang w:val="sr-Cyrl-BA"/>
        </w:rPr>
        <w:t>,</w:t>
      </w:r>
      <w:r w:rsidRPr="002B34F1">
        <w:rPr>
          <w:rFonts w:ascii="Times New Roman" w:eastAsia="Times New Roman" w:hAnsi="Times New Roman" w:cs="Times New Roman"/>
          <w:sz w:val="18"/>
          <w:szCs w:val="18"/>
          <w:lang w:val="hr-BA"/>
        </w:rPr>
        <w:t xml:space="preserve"> из прихода од индиректних пореза </w:t>
      </w:r>
      <w:r w:rsidRPr="002B34F1">
        <w:rPr>
          <w:rFonts w:ascii="Times New Roman" w:eastAsia="Times New Roman" w:hAnsi="Times New Roman" w:cs="Times New Roman"/>
          <w:sz w:val="18"/>
          <w:szCs w:val="18"/>
          <w:lang w:val="sr-Cyrl-RS"/>
        </w:rPr>
        <w:t xml:space="preserve">који припадају Републици Српској, </w:t>
      </w:r>
      <w:r w:rsidRPr="002B34F1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буџетима </w:t>
      </w:r>
      <w:r w:rsidRPr="002B34F1">
        <w:rPr>
          <w:rFonts w:ascii="Times New Roman" w:eastAsia="Times New Roman" w:hAnsi="Times New Roman" w:cs="Times New Roman"/>
          <w:sz w:val="18"/>
          <w:szCs w:val="18"/>
          <w:lang w:val="hr-BA"/>
        </w:rPr>
        <w:t>општина</w:t>
      </w:r>
      <w:r w:rsidRPr="002B34F1">
        <w:rPr>
          <w:rFonts w:ascii="Times New Roman" w:eastAsia="Times New Roman" w:hAnsi="Times New Roman" w:cs="Times New Roman"/>
          <w:sz w:val="18"/>
          <w:szCs w:val="18"/>
          <w:lang w:val="sr-Cyrl-CS"/>
        </w:rPr>
        <w:t xml:space="preserve"> и градова припада 24% средстава преосталих након</w:t>
      </w:r>
      <w:r w:rsidRPr="002B34F1">
        <w:rPr>
          <w:rFonts w:ascii="Times New Roman" w:eastAsia="Times New Roman" w:hAnsi="Times New Roman" w:cs="Times New Roman"/>
          <w:sz w:val="18"/>
          <w:szCs w:val="18"/>
          <w:lang w:val="hr-BA"/>
        </w:rPr>
        <w:t xml:space="preserve"> сервисирањ</w:t>
      </w:r>
      <w:r w:rsidRPr="002B34F1">
        <w:rPr>
          <w:rFonts w:ascii="Times New Roman" w:eastAsia="Times New Roman" w:hAnsi="Times New Roman" w:cs="Times New Roman"/>
          <w:sz w:val="18"/>
          <w:szCs w:val="18"/>
          <w:lang w:val="sr-Cyrl-RS"/>
        </w:rPr>
        <w:t>а</w:t>
      </w:r>
      <w:r w:rsidRPr="002B34F1">
        <w:rPr>
          <w:rFonts w:ascii="Times New Roman" w:eastAsia="Times New Roman" w:hAnsi="Times New Roman" w:cs="Times New Roman"/>
          <w:sz w:val="18"/>
          <w:szCs w:val="18"/>
          <w:lang w:val="hr-BA"/>
        </w:rPr>
        <w:t xml:space="preserve"> </w:t>
      </w:r>
      <w:r w:rsidRPr="002B34F1">
        <w:rPr>
          <w:rFonts w:ascii="Times New Roman" w:eastAsia="Times New Roman" w:hAnsi="Times New Roman" w:cs="Times New Roman"/>
          <w:sz w:val="18"/>
          <w:szCs w:val="18"/>
          <w:lang w:val="sr-Cyrl-CS"/>
        </w:rPr>
        <w:t xml:space="preserve">спољног </w:t>
      </w:r>
      <w:r w:rsidRPr="002B34F1">
        <w:rPr>
          <w:rFonts w:ascii="Times New Roman" w:eastAsia="Times New Roman" w:hAnsi="Times New Roman" w:cs="Times New Roman"/>
          <w:sz w:val="18"/>
          <w:szCs w:val="18"/>
          <w:lang w:val="hr-BA"/>
        </w:rPr>
        <w:t>дуга</w:t>
      </w:r>
      <w:r w:rsidRPr="002B34F1">
        <w:rPr>
          <w:rFonts w:ascii="Times New Roman" w:eastAsia="Times New Roman" w:hAnsi="Times New Roman" w:cs="Times New Roman"/>
          <w:sz w:val="18"/>
          <w:szCs w:val="18"/>
          <w:lang w:val="sr-Cyrl-RS"/>
        </w:rPr>
        <w:t xml:space="preserve"> Републике Српске.</w:t>
      </w:r>
    </w:p>
  </w:footnote>
  <w:footnote w:id="13">
    <w:p w14:paraId="50FFA9AB" w14:textId="77777777" w:rsidR="006C4827" w:rsidRPr="002B34F1" w:rsidRDefault="006C4827" w:rsidP="006C4827">
      <w:pPr>
        <w:pStyle w:val="FootnoteText"/>
        <w:jc w:val="both"/>
        <w:rPr>
          <w:rFonts w:ascii="Times New Roman" w:hAnsi="Times New Roman" w:cs="Times New Roman"/>
          <w:lang w:val="sr-Cyrl-RS"/>
        </w:rPr>
      </w:pPr>
      <w:r w:rsidRPr="002B34F1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2B34F1">
        <w:rPr>
          <w:rFonts w:ascii="Times New Roman" w:hAnsi="Times New Roman" w:cs="Times New Roman"/>
          <w:sz w:val="18"/>
          <w:szCs w:val="18"/>
        </w:rPr>
        <w:t xml:space="preserve"> </w:t>
      </w:r>
      <w:r w:rsidRPr="002B34F1">
        <w:rPr>
          <w:rFonts w:ascii="Times New Roman" w:eastAsia="Times New Roman" w:hAnsi="Times New Roman" w:cs="Times New Roman"/>
          <w:sz w:val="18"/>
          <w:szCs w:val="18"/>
          <w:lang w:val="sr-Cyrl-BA"/>
        </w:rPr>
        <w:t>На основу Закона о буџетском систему Републике Српске, буџетима јединица локалне самоуправе припада 25% прихода од пореза на лична примања и пореза на приходе од самосталне дјелатности.</w:t>
      </w:r>
    </w:p>
  </w:footnote>
  <w:footnote w:id="14">
    <w:p w14:paraId="7B1CEFF7" w14:textId="77777777" w:rsidR="006C4827" w:rsidRPr="002B34F1" w:rsidRDefault="006C4827" w:rsidP="006C4827">
      <w:pPr>
        <w:pStyle w:val="FootnoteText"/>
        <w:jc w:val="both"/>
        <w:rPr>
          <w:rFonts w:ascii="Times New Roman" w:hAnsi="Times New Roman" w:cs="Times New Roman"/>
          <w:sz w:val="18"/>
          <w:szCs w:val="18"/>
          <w:lang w:val="sr-Cyrl-RS"/>
        </w:rPr>
      </w:pPr>
      <w:r w:rsidRPr="002B34F1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2B34F1">
        <w:rPr>
          <w:rFonts w:ascii="Times New Roman" w:hAnsi="Times New Roman" w:cs="Times New Roman"/>
          <w:sz w:val="18"/>
          <w:szCs w:val="18"/>
        </w:rPr>
        <w:t xml:space="preserve"> </w:t>
      </w:r>
      <w:r w:rsidRPr="002B34F1">
        <w:rPr>
          <w:rFonts w:ascii="Times New Roman" w:eastAsia="Times New Roman" w:hAnsi="Times New Roman" w:cs="Times New Roman"/>
          <w:bCs/>
          <w:sz w:val="18"/>
          <w:szCs w:val="18"/>
          <w:lang w:val="sr-Cyrl-CS"/>
        </w:rPr>
        <w:t>Наведени приход се користити за дијагностику и лијечење обољења, стања и повреда код дјеце, а за које није могуће обезбиједити одговарајућу здравствену услугу у Републици Српској. Посебан допринос за солидарност прописан је Законом о Фонду солидарности за дијагностику и лијечење обољења, стања и повреда дјеце у иностранству</w:t>
      </w:r>
      <w:r w:rsidRPr="002B34F1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 („Службени гласник Републике Српске“, бр</w:t>
      </w:r>
      <w:r w:rsidR="00EE0EB5" w:rsidRPr="002B34F1">
        <w:rPr>
          <w:rFonts w:ascii="Times New Roman" w:eastAsia="Times New Roman" w:hAnsi="Times New Roman" w:cs="Times New Roman"/>
          <w:sz w:val="18"/>
          <w:szCs w:val="18"/>
          <w:lang w:val="sr-Cyrl-BA"/>
        </w:rPr>
        <w:t xml:space="preserve">. </w:t>
      </w:r>
      <w:r w:rsidRPr="002B34F1">
        <w:rPr>
          <w:rFonts w:ascii="Times New Roman" w:eastAsia="Times New Roman" w:hAnsi="Times New Roman" w:cs="Times New Roman"/>
          <w:sz w:val="18"/>
          <w:szCs w:val="18"/>
          <w:lang w:val="sr-Cyrl-BA"/>
        </w:rPr>
        <w:t>100/17 и 103/17).</w:t>
      </w:r>
    </w:p>
  </w:footnote>
  <w:footnote w:id="15">
    <w:p w14:paraId="202ED7AF" w14:textId="77777777" w:rsidR="00491CC1" w:rsidRPr="002B34F1" w:rsidRDefault="00491CC1" w:rsidP="00491CC1">
      <w:pPr>
        <w:pStyle w:val="FootnoteText"/>
        <w:jc w:val="both"/>
        <w:rPr>
          <w:rFonts w:ascii="Times New Roman" w:hAnsi="Times New Roman" w:cs="Times New Roman"/>
          <w:noProof/>
          <w:sz w:val="18"/>
          <w:szCs w:val="18"/>
          <w:lang w:val="sr-Cyrl-BA"/>
        </w:rPr>
      </w:pPr>
      <w:r w:rsidRPr="002B34F1">
        <w:rPr>
          <w:rStyle w:val="FootnoteReference"/>
          <w:rFonts w:ascii="Times New Roman" w:hAnsi="Times New Roman" w:cs="Times New Roman"/>
          <w:noProof/>
          <w:sz w:val="18"/>
          <w:szCs w:val="18"/>
          <w:lang w:val="sr-Cyrl-BA"/>
        </w:rPr>
        <w:footnoteRef/>
      </w:r>
      <w:r w:rsidRPr="002B34F1">
        <w:rPr>
          <w:rFonts w:ascii="Times New Roman" w:hAnsi="Times New Roman" w:cs="Times New Roman"/>
          <w:noProof/>
          <w:sz w:val="18"/>
          <w:szCs w:val="18"/>
          <w:lang w:val="sr-Cyrl-BA"/>
        </w:rPr>
        <w:t xml:space="preserve"> Према саопштењ</w:t>
      </w:r>
      <w:r w:rsidRPr="002B34F1">
        <w:rPr>
          <w:rFonts w:ascii="Times New Roman" w:hAnsi="Times New Roman" w:cs="Times New Roman"/>
          <w:noProof/>
          <w:sz w:val="18"/>
          <w:szCs w:val="18"/>
          <w:lang w:val="sr-Cyrl-RS"/>
        </w:rPr>
        <w:t xml:space="preserve">у </w:t>
      </w:r>
      <w:r w:rsidRPr="002B34F1">
        <w:rPr>
          <w:rFonts w:ascii="Times New Roman" w:hAnsi="Times New Roman" w:cs="Times New Roman"/>
          <w:noProof/>
          <w:sz w:val="18"/>
          <w:szCs w:val="18"/>
          <w:lang w:val="sr-Cyrl-BA"/>
        </w:rPr>
        <w:t xml:space="preserve">Републичког завода за статистику Републике Српске од </w:t>
      </w:r>
      <w:r w:rsidRPr="002B34F1">
        <w:rPr>
          <w:rFonts w:ascii="Times New Roman" w:hAnsi="Times New Roman" w:cs="Times New Roman"/>
          <w:noProof/>
          <w:sz w:val="18"/>
          <w:szCs w:val="18"/>
          <w:lang w:val="sr-Latn-BA"/>
        </w:rPr>
        <w:t>17</w:t>
      </w:r>
      <w:r w:rsidR="00EE0EB5" w:rsidRPr="002B34F1">
        <w:rPr>
          <w:rFonts w:ascii="Times New Roman" w:hAnsi="Times New Roman" w:cs="Times New Roman"/>
          <w:noProof/>
          <w:sz w:val="18"/>
          <w:szCs w:val="18"/>
          <w:lang w:val="sr-Cyrl-BA"/>
        </w:rPr>
        <w:t xml:space="preserve">. </w:t>
      </w:r>
      <w:r w:rsidRPr="002B34F1">
        <w:rPr>
          <w:rFonts w:ascii="Times New Roman" w:hAnsi="Times New Roman" w:cs="Times New Roman"/>
          <w:noProof/>
          <w:sz w:val="18"/>
          <w:szCs w:val="18"/>
          <w:lang w:val="sr-Latn-BA"/>
        </w:rPr>
        <w:t>7</w:t>
      </w:r>
      <w:r w:rsidRPr="002B34F1">
        <w:rPr>
          <w:rFonts w:ascii="Times New Roman" w:hAnsi="Times New Roman" w:cs="Times New Roman"/>
          <w:noProof/>
          <w:sz w:val="18"/>
          <w:szCs w:val="18"/>
          <w:lang w:val="sr-Cyrl-BA"/>
        </w:rPr>
        <w:t>.</w:t>
      </w:r>
      <w:r w:rsidR="00EE0EB5" w:rsidRPr="002B34F1">
        <w:rPr>
          <w:rFonts w:ascii="Times New Roman" w:hAnsi="Times New Roman" w:cs="Times New Roman"/>
          <w:noProof/>
          <w:sz w:val="18"/>
          <w:szCs w:val="18"/>
          <w:lang w:val="sr-Cyrl-BA"/>
        </w:rPr>
        <w:t xml:space="preserve"> </w:t>
      </w:r>
      <w:r w:rsidRPr="002B34F1">
        <w:rPr>
          <w:rFonts w:ascii="Times New Roman" w:hAnsi="Times New Roman" w:cs="Times New Roman"/>
          <w:noProof/>
          <w:sz w:val="18"/>
          <w:szCs w:val="18"/>
          <w:lang w:val="sr-Cyrl-BA"/>
        </w:rPr>
        <w:t>202</w:t>
      </w:r>
      <w:r w:rsidRPr="002B34F1">
        <w:rPr>
          <w:rFonts w:ascii="Times New Roman" w:hAnsi="Times New Roman" w:cs="Times New Roman"/>
          <w:noProof/>
          <w:sz w:val="18"/>
          <w:szCs w:val="18"/>
          <w:lang w:val="sr-Latn-BA"/>
        </w:rPr>
        <w:t>3</w:t>
      </w:r>
      <w:r w:rsidRPr="002B34F1">
        <w:rPr>
          <w:rFonts w:ascii="Times New Roman" w:hAnsi="Times New Roman" w:cs="Times New Roman"/>
          <w:noProof/>
          <w:sz w:val="18"/>
          <w:szCs w:val="18"/>
          <w:lang w:val="sr-Cyrl-BA"/>
        </w:rPr>
        <w:t>. године, БДП за 202</w:t>
      </w:r>
      <w:r w:rsidRPr="002B34F1">
        <w:rPr>
          <w:rFonts w:ascii="Times New Roman" w:hAnsi="Times New Roman" w:cs="Times New Roman"/>
          <w:noProof/>
          <w:sz w:val="18"/>
          <w:szCs w:val="18"/>
          <w:lang w:val="sr-Latn-BA"/>
        </w:rPr>
        <w:t>2</w:t>
      </w:r>
      <w:r w:rsidRPr="002B34F1">
        <w:rPr>
          <w:rFonts w:ascii="Times New Roman" w:hAnsi="Times New Roman" w:cs="Times New Roman"/>
          <w:noProof/>
          <w:sz w:val="18"/>
          <w:szCs w:val="18"/>
          <w:lang w:val="sr-Cyrl-BA"/>
        </w:rPr>
        <w:t>. годину износи 1</w:t>
      </w:r>
      <w:r w:rsidRPr="002B34F1">
        <w:rPr>
          <w:rFonts w:ascii="Times New Roman" w:hAnsi="Times New Roman" w:cs="Times New Roman"/>
          <w:noProof/>
          <w:sz w:val="18"/>
          <w:szCs w:val="18"/>
          <w:lang w:val="sr-Latn-BA"/>
        </w:rPr>
        <w:t>4</w:t>
      </w:r>
      <w:r w:rsidRPr="002B34F1">
        <w:rPr>
          <w:rFonts w:ascii="Times New Roman" w:hAnsi="Times New Roman" w:cs="Times New Roman"/>
          <w:noProof/>
          <w:sz w:val="18"/>
          <w:szCs w:val="18"/>
          <w:lang w:val="sr-Cyrl-BA"/>
        </w:rPr>
        <w:t>.</w:t>
      </w:r>
      <w:r w:rsidRPr="002B34F1">
        <w:rPr>
          <w:rFonts w:ascii="Times New Roman" w:hAnsi="Times New Roman" w:cs="Times New Roman"/>
          <w:noProof/>
          <w:sz w:val="18"/>
          <w:szCs w:val="18"/>
          <w:lang w:val="sr-Latn-BA"/>
        </w:rPr>
        <w:t>535</w:t>
      </w:r>
      <w:r w:rsidRPr="002B34F1">
        <w:rPr>
          <w:rFonts w:ascii="Times New Roman" w:hAnsi="Times New Roman" w:cs="Times New Roman"/>
          <w:noProof/>
          <w:sz w:val="18"/>
          <w:szCs w:val="18"/>
          <w:lang w:val="sr-Cyrl-BA"/>
        </w:rPr>
        <w:t xml:space="preserve"> милиона КМ </w:t>
      </w:r>
      <w:r w:rsidRPr="002B34F1">
        <w:rPr>
          <w:rFonts w:ascii="Times New Roman" w:hAnsi="Times New Roman" w:cs="Times New Roman"/>
          <w:noProof/>
          <w:sz w:val="18"/>
          <w:szCs w:val="18"/>
          <w:lang w:val="sr-Latn-BA"/>
        </w:rPr>
        <w:t>(</w:t>
      </w:r>
      <w:r w:rsidRPr="002B34F1">
        <w:rPr>
          <w:rFonts w:ascii="Times New Roman" w:hAnsi="Times New Roman" w:cs="Times New Roman"/>
          <w:noProof/>
          <w:sz w:val="18"/>
          <w:szCs w:val="18"/>
          <w:lang w:val="sr-Cyrl-BA"/>
        </w:rPr>
        <w:t>прелиминарни подаци)</w:t>
      </w:r>
      <w:r w:rsidR="00EE0EB5" w:rsidRPr="002B34F1">
        <w:rPr>
          <w:rFonts w:ascii="Times New Roman" w:hAnsi="Times New Roman" w:cs="Times New Roman"/>
          <w:noProof/>
          <w:sz w:val="18"/>
          <w:szCs w:val="18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11.25pt;height:11.25pt" o:bullet="t">
        <v:imagedata r:id="rId1" o:title="msoE999"/>
      </v:shape>
    </w:pict>
  </w:numPicBullet>
  <w:numPicBullet w:numPicBulletId="1">
    <w:pict>
      <v:shape id="_x0000_i1055" type="#_x0000_t75" style="width:11.25pt;height:11.25pt" o:bullet="t">
        <v:imagedata r:id="rId2" o:title="mso94"/>
      </v:shape>
    </w:pict>
  </w:numPicBullet>
  <w:abstractNum w:abstractNumId="0" w15:restartNumberingAfterBreak="0">
    <w:nsid w:val="00CA6404"/>
    <w:multiLevelType w:val="hybridMultilevel"/>
    <w:tmpl w:val="80C69A7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A181F"/>
    <w:multiLevelType w:val="hybridMultilevel"/>
    <w:tmpl w:val="133A0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61B36"/>
    <w:multiLevelType w:val="hybridMultilevel"/>
    <w:tmpl w:val="2320C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F3C48"/>
    <w:multiLevelType w:val="hybridMultilevel"/>
    <w:tmpl w:val="8ACC2400"/>
    <w:lvl w:ilvl="0" w:tplc="05D631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1712C"/>
    <w:multiLevelType w:val="hybridMultilevel"/>
    <w:tmpl w:val="6590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A194A"/>
    <w:multiLevelType w:val="hybridMultilevel"/>
    <w:tmpl w:val="CCD24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55EDB"/>
    <w:multiLevelType w:val="hybridMultilevel"/>
    <w:tmpl w:val="CBBCAB26"/>
    <w:lvl w:ilvl="0" w:tplc="CAE09D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C36F0"/>
    <w:multiLevelType w:val="hybridMultilevel"/>
    <w:tmpl w:val="FEAEFAE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EDD3FBE"/>
    <w:multiLevelType w:val="hybridMultilevel"/>
    <w:tmpl w:val="BB948FB6"/>
    <w:lvl w:ilvl="0" w:tplc="74EACD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E03880"/>
    <w:multiLevelType w:val="hybridMultilevel"/>
    <w:tmpl w:val="E8607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10415"/>
    <w:multiLevelType w:val="hybridMultilevel"/>
    <w:tmpl w:val="2CC02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D7F9B"/>
    <w:multiLevelType w:val="hybridMultilevel"/>
    <w:tmpl w:val="38D49B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244B0ED6"/>
    <w:multiLevelType w:val="hybridMultilevel"/>
    <w:tmpl w:val="C7128B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BD2796"/>
    <w:multiLevelType w:val="hybridMultilevel"/>
    <w:tmpl w:val="C1127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D84043"/>
    <w:multiLevelType w:val="hybridMultilevel"/>
    <w:tmpl w:val="1ACA2A6A"/>
    <w:lvl w:ilvl="0" w:tplc="05D631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0017CF"/>
    <w:multiLevelType w:val="hybridMultilevel"/>
    <w:tmpl w:val="47BA2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AE08EA"/>
    <w:multiLevelType w:val="hybridMultilevel"/>
    <w:tmpl w:val="6E8EB8BE"/>
    <w:lvl w:ilvl="0" w:tplc="A47224F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926EE6"/>
    <w:multiLevelType w:val="hybridMultilevel"/>
    <w:tmpl w:val="6F5ECD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2EB6E6C"/>
    <w:multiLevelType w:val="hybridMultilevel"/>
    <w:tmpl w:val="04EE9D38"/>
    <w:lvl w:ilvl="0" w:tplc="040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EC452F"/>
    <w:multiLevelType w:val="hybridMultilevel"/>
    <w:tmpl w:val="475CF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3831E2"/>
    <w:multiLevelType w:val="hybridMultilevel"/>
    <w:tmpl w:val="BB28A8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3813DC"/>
    <w:multiLevelType w:val="hybridMultilevel"/>
    <w:tmpl w:val="C0EE0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9B3E66"/>
    <w:multiLevelType w:val="hybridMultilevel"/>
    <w:tmpl w:val="01C41C9C"/>
    <w:lvl w:ilvl="0" w:tplc="DB525DBA">
      <w:start w:val="85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3F1A19"/>
    <w:multiLevelType w:val="hybridMultilevel"/>
    <w:tmpl w:val="DB0E32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465689"/>
    <w:multiLevelType w:val="hybridMultilevel"/>
    <w:tmpl w:val="3A3470CA"/>
    <w:lvl w:ilvl="0" w:tplc="CAE09DB4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  <w:color w:val="365F91"/>
        <w:sz w:val="24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5" w15:restartNumberingAfterBreak="0">
    <w:nsid w:val="51696F3A"/>
    <w:multiLevelType w:val="hybridMultilevel"/>
    <w:tmpl w:val="C078345A"/>
    <w:lvl w:ilvl="0" w:tplc="05D631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E93E8F"/>
    <w:multiLevelType w:val="hybridMultilevel"/>
    <w:tmpl w:val="58FAE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F90AC8"/>
    <w:multiLevelType w:val="hybridMultilevel"/>
    <w:tmpl w:val="6E82D0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0701C3"/>
    <w:multiLevelType w:val="hybridMultilevel"/>
    <w:tmpl w:val="88D8443A"/>
    <w:lvl w:ilvl="0" w:tplc="CAE09D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CB1C0E"/>
    <w:multiLevelType w:val="hybridMultilevel"/>
    <w:tmpl w:val="72E2C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8C7F8E"/>
    <w:multiLevelType w:val="hybridMultilevel"/>
    <w:tmpl w:val="8368A598"/>
    <w:lvl w:ilvl="0" w:tplc="040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7E27F2"/>
    <w:multiLevelType w:val="hybridMultilevel"/>
    <w:tmpl w:val="16146CA6"/>
    <w:lvl w:ilvl="0" w:tplc="54C8D9B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6C3ED3"/>
    <w:multiLevelType w:val="hybridMultilevel"/>
    <w:tmpl w:val="A8A89E14"/>
    <w:lvl w:ilvl="0" w:tplc="8C82C6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251B3A"/>
    <w:multiLevelType w:val="hybridMultilevel"/>
    <w:tmpl w:val="86EC8988"/>
    <w:lvl w:ilvl="0" w:tplc="05D631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145959"/>
    <w:multiLevelType w:val="hybridMultilevel"/>
    <w:tmpl w:val="7FA07E8A"/>
    <w:lvl w:ilvl="0" w:tplc="CAE09D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B75BBF"/>
    <w:multiLevelType w:val="hybridMultilevel"/>
    <w:tmpl w:val="DA9C28F0"/>
    <w:lvl w:ilvl="0" w:tplc="05D631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C56D91"/>
    <w:multiLevelType w:val="hybridMultilevel"/>
    <w:tmpl w:val="27487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0A4819"/>
    <w:multiLevelType w:val="hybridMultilevel"/>
    <w:tmpl w:val="6308A8EE"/>
    <w:lvl w:ilvl="0" w:tplc="F07A1E1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AC6750"/>
    <w:multiLevelType w:val="hybridMultilevel"/>
    <w:tmpl w:val="82349B5E"/>
    <w:lvl w:ilvl="0" w:tplc="05D631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5194024">
    <w:abstractNumId w:val="23"/>
  </w:num>
  <w:num w:numId="2" w16cid:durableId="669605836">
    <w:abstractNumId w:val="28"/>
  </w:num>
  <w:num w:numId="3" w16cid:durableId="468208611">
    <w:abstractNumId w:val="4"/>
  </w:num>
  <w:num w:numId="4" w16cid:durableId="380249535">
    <w:abstractNumId w:val="21"/>
  </w:num>
  <w:num w:numId="5" w16cid:durableId="1169253857">
    <w:abstractNumId w:val="10"/>
  </w:num>
  <w:num w:numId="6" w16cid:durableId="1083146234">
    <w:abstractNumId w:val="36"/>
  </w:num>
  <w:num w:numId="7" w16cid:durableId="2000304121">
    <w:abstractNumId w:val="20"/>
  </w:num>
  <w:num w:numId="8" w16cid:durableId="848838492">
    <w:abstractNumId w:val="32"/>
  </w:num>
  <w:num w:numId="9" w16cid:durableId="21976710">
    <w:abstractNumId w:val="11"/>
  </w:num>
  <w:num w:numId="10" w16cid:durableId="465706163">
    <w:abstractNumId w:val="9"/>
  </w:num>
  <w:num w:numId="11" w16cid:durableId="2098750496">
    <w:abstractNumId w:val="26"/>
  </w:num>
  <w:num w:numId="12" w16cid:durableId="589587111">
    <w:abstractNumId w:val="35"/>
  </w:num>
  <w:num w:numId="13" w16cid:durableId="1965841972">
    <w:abstractNumId w:val="38"/>
  </w:num>
  <w:num w:numId="14" w16cid:durableId="1776052884">
    <w:abstractNumId w:val="14"/>
  </w:num>
  <w:num w:numId="15" w16cid:durableId="550580694">
    <w:abstractNumId w:val="3"/>
  </w:num>
  <w:num w:numId="16" w16cid:durableId="398947125">
    <w:abstractNumId w:val="25"/>
  </w:num>
  <w:num w:numId="17" w16cid:durableId="251670024">
    <w:abstractNumId w:val="33"/>
  </w:num>
  <w:num w:numId="18" w16cid:durableId="481968783">
    <w:abstractNumId w:val="27"/>
  </w:num>
  <w:num w:numId="19" w16cid:durableId="1815175185">
    <w:abstractNumId w:val="15"/>
  </w:num>
  <w:num w:numId="20" w16cid:durableId="366026339">
    <w:abstractNumId w:val="19"/>
  </w:num>
  <w:num w:numId="21" w16cid:durableId="1730105889">
    <w:abstractNumId w:val="13"/>
  </w:num>
  <w:num w:numId="22" w16cid:durableId="423263327">
    <w:abstractNumId w:val="17"/>
  </w:num>
  <w:num w:numId="23" w16cid:durableId="1663582934">
    <w:abstractNumId w:val="5"/>
  </w:num>
  <w:num w:numId="24" w16cid:durableId="420682899">
    <w:abstractNumId w:val="2"/>
  </w:num>
  <w:num w:numId="25" w16cid:durableId="787046188">
    <w:abstractNumId w:val="7"/>
  </w:num>
  <w:num w:numId="26" w16cid:durableId="634408920">
    <w:abstractNumId w:val="12"/>
  </w:num>
  <w:num w:numId="27" w16cid:durableId="769855472">
    <w:abstractNumId w:val="29"/>
  </w:num>
  <w:num w:numId="28" w16cid:durableId="285506477">
    <w:abstractNumId w:val="31"/>
  </w:num>
  <w:num w:numId="29" w16cid:durableId="22824078">
    <w:abstractNumId w:val="8"/>
  </w:num>
  <w:num w:numId="30" w16cid:durableId="751119780">
    <w:abstractNumId w:val="16"/>
  </w:num>
  <w:num w:numId="31" w16cid:durableId="358745101">
    <w:abstractNumId w:val="37"/>
  </w:num>
  <w:num w:numId="32" w16cid:durableId="515191197">
    <w:abstractNumId w:val="0"/>
  </w:num>
  <w:num w:numId="33" w16cid:durableId="576599961">
    <w:abstractNumId w:val="24"/>
  </w:num>
  <w:num w:numId="34" w16cid:durableId="25839629">
    <w:abstractNumId w:val="6"/>
  </w:num>
  <w:num w:numId="35" w16cid:durableId="24295335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18989491">
    <w:abstractNumId w:val="18"/>
  </w:num>
  <w:num w:numId="37" w16cid:durableId="1227645631">
    <w:abstractNumId w:val="30"/>
  </w:num>
  <w:num w:numId="38" w16cid:durableId="1097864973">
    <w:abstractNumId w:val="34"/>
  </w:num>
  <w:num w:numId="39" w16cid:durableId="2066637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973"/>
    <w:rsid w:val="00001B52"/>
    <w:rsid w:val="00003003"/>
    <w:rsid w:val="00003197"/>
    <w:rsid w:val="00003608"/>
    <w:rsid w:val="00004436"/>
    <w:rsid w:val="00004AA9"/>
    <w:rsid w:val="00004F03"/>
    <w:rsid w:val="00004FFA"/>
    <w:rsid w:val="00005A8F"/>
    <w:rsid w:val="000069BA"/>
    <w:rsid w:val="000100C7"/>
    <w:rsid w:val="0001010D"/>
    <w:rsid w:val="00010200"/>
    <w:rsid w:val="000104AA"/>
    <w:rsid w:val="000110AD"/>
    <w:rsid w:val="00012B1C"/>
    <w:rsid w:val="00012C43"/>
    <w:rsid w:val="000141B0"/>
    <w:rsid w:val="00015159"/>
    <w:rsid w:val="000201FA"/>
    <w:rsid w:val="00020630"/>
    <w:rsid w:val="00021226"/>
    <w:rsid w:val="00021615"/>
    <w:rsid w:val="000220AA"/>
    <w:rsid w:val="00023061"/>
    <w:rsid w:val="000238E4"/>
    <w:rsid w:val="00024554"/>
    <w:rsid w:val="00024EB3"/>
    <w:rsid w:val="000252DB"/>
    <w:rsid w:val="00026B9B"/>
    <w:rsid w:val="00031E0A"/>
    <w:rsid w:val="00031F4A"/>
    <w:rsid w:val="00032EEE"/>
    <w:rsid w:val="0003332E"/>
    <w:rsid w:val="000335B3"/>
    <w:rsid w:val="000373A1"/>
    <w:rsid w:val="00041614"/>
    <w:rsid w:val="00042399"/>
    <w:rsid w:val="00042BCB"/>
    <w:rsid w:val="00043A9A"/>
    <w:rsid w:val="000446FB"/>
    <w:rsid w:val="00044777"/>
    <w:rsid w:val="00044EC4"/>
    <w:rsid w:val="000454E0"/>
    <w:rsid w:val="00046776"/>
    <w:rsid w:val="00047228"/>
    <w:rsid w:val="00050EA1"/>
    <w:rsid w:val="0005178A"/>
    <w:rsid w:val="00052A91"/>
    <w:rsid w:val="00054113"/>
    <w:rsid w:val="000544E8"/>
    <w:rsid w:val="00055943"/>
    <w:rsid w:val="00056544"/>
    <w:rsid w:val="0005654E"/>
    <w:rsid w:val="000571F4"/>
    <w:rsid w:val="00057856"/>
    <w:rsid w:val="000609DB"/>
    <w:rsid w:val="00061063"/>
    <w:rsid w:val="0006143F"/>
    <w:rsid w:val="00062366"/>
    <w:rsid w:val="00062891"/>
    <w:rsid w:val="00062D67"/>
    <w:rsid w:val="0006332F"/>
    <w:rsid w:val="00064C34"/>
    <w:rsid w:val="00065079"/>
    <w:rsid w:val="000655C1"/>
    <w:rsid w:val="00066C71"/>
    <w:rsid w:val="000675A3"/>
    <w:rsid w:val="00070218"/>
    <w:rsid w:val="00070435"/>
    <w:rsid w:val="00070997"/>
    <w:rsid w:val="0007175C"/>
    <w:rsid w:val="000719C8"/>
    <w:rsid w:val="00071A36"/>
    <w:rsid w:val="00073182"/>
    <w:rsid w:val="0007364C"/>
    <w:rsid w:val="0007382A"/>
    <w:rsid w:val="000738EF"/>
    <w:rsid w:val="00073985"/>
    <w:rsid w:val="00073CDE"/>
    <w:rsid w:val="00074678"/>
    <w:rsid w:val="00075692"/>
    <w:rsid w:val="0007570D"/>
    <w:rsid w:val="0007633A"/>
    <w:rsid w:val="00080A9A"/>
    <w:rsid w:val="00081BEA"/>
    <w:rsid w:val="00082B90"/>
    <w:rsid w:val="00083AA1"/>
    <w:rsid w:val="0008440E"/>
    <w:rsid w:val="00084886"/>
    <w:rsid w:val="00085B17"/>
    <w:rsid w:val="00086ACB"/>
    <w:rsid w:val="000878A3"/>
    <w:rsid w:val="00091086"/>
    <w:rsid w:val="00091134"/>
    <w:rsid w:val="0009127E"/>
    <w:rsid w:val="00091877"/>
    <w:rsid w:val="00091E4F"/>
    <w:rsid w:val="000933E9"/>
    <w:rsid w:val="00094932"/>
    <w:rsid w:val="00094B4B"/>
    <w:rsid w:val="0009652A"/>
    <w:rsid w:val="000A07EB"/>
    <w:rsid w:val="000A2B5C"/>
    <w:rsid w:val="000A2C99"/>
    <w:rsid w:val="000A32BC"/>
    <w:rsid w:val="000A603F"/>
    <w:rsid w:val="000A6492"/>
    <w:rsid w:val="000A66DC"/>
    <w:rsid w:val="000A6CCD"/>
    <w:rsid w:val="000A6DA8"/>
    <w:rsid w:val="000A6F5D"/>
    <w:rsid w:val="000A7B53"/>
    <w:rsid w:val="000B2DD7"/>
    <w:rsid w:val="000B3617"/>
    <w:rsid w:val="000B483F"/>
    <w:rsid w:val="000B4BD9"/>
    <w:rsid w:val="000B521C"/>
    <w:rsid w:val="000B5733"/>
    <w:rsid w:val="000B59DC"/>
    <w:rsid w:val="000B69FD"/>
    <w:rsid w:val="000B6BBE"/>
    <w:rsid w:val="000B743F"/>
    <w:rsid w:val="000C04B9"/>
    <w:rsid w:val="000C078E"/>
    <w:rsid w:val="000C1881"/>
    <w:rsid w:val="000C3535"/>
    <w:rsid w:val="000C547A"/>
    <w:rsid w:val="000C5781"/>
    <w:rsid w:val="000D041D"/>
    <w:rsid w:val="000D10DD"/>
    <w:rsid w:val="000D2033"/>
    <w:rsid w:val="000D3B77"/>
    <w:rsid w:val="000D3E8A"/>
    <w:rsid w:val="000D5186"/>
    <w:rsid w:val="000D55FD"/>
    <w:rsid w:val="000D5A12"/>
    <w:rsid w:val="000D640D"/>
    <w:rsid w:val="000D70FE"/>
    <w:rsid w:val="000D7781"/>
    <w:rsid w:val="000E22E4"/>
    <w:rsid w:val="000E295E"/>
    <w:rsid w:val="000E2DFA"/>
    <w:rsid w:val="000E4A7A"/>
    <w:rsid w:val="000E4C6D"/>
    <w:rsid w:val="000E6BE6"/>
    <w:rsid w:val="000E6C07"/>
    <w:rsid w:val="000E7E8D"/>
    <w:rsid w:val="000F0AC6"/>
    <w:rsid w:val="000F55F7"/>
    <w:rsid w:val="000F563E"/>
    <w:rsid w:val="000F61A7"/>
    <w:rsid w:val="000F72D8"/>
    <w:rsid w:val="00100261"/>
    <w:rsid w:val="00101695"/>
    <w:rsid w:val="00102DC5"/>
    <w:rsid w:val="001047BB"/>
    <w:rsid w:val="001052E9"/>
    <w:rsid w:val="00106A98"/>
    <w:rsid w:val="00107573"/>
    <w:rsid w:val="00110753"/>
    <w:rsid w:val="0011121F"/>
    <w:rsid w:val="00111D51"/>
    <w:rsid w:val="00112C4F"/>
    <w:rsid w:val="001139C2"/>
    <w:rsid w:val="001151EC"/>
    <w:rsid w:val="001168CA"/>
    <w:rsid w:val="0011768E"/>
    <w:rsid w:val="00117C80"/>
    <w:rsid w:val="00120F86"/>
    <w:rsid w:val="00121FF2"/>
    <w:rsid w:val="00124D50"/>
    <w:rsid w:val="00125292"/>
    <w:rsid w:val="00126ED3"/>
    <w:rsid w:val="00126F95"/>
    <w:rsid w:val="001273A5"/>
    <w:rsid w:val="00127D54"/>
    <w:rsid w:val="001303DD"/>
    <w:rsid w:val="001304E7"/>
    <w:rsid w:val="001342E5"/>
    <w:rsid w:val="00136946"/>
    <w:rsid w:val="0013696E"/>
    <w:rsid w:val="0014030D"/>
    <w:rsid w:val="00140399"/>
    <w:rsid w:val="0014201B"/>
    <w:rsid w:val="001425AD"/>
    <w:rsid w:val="0014342D"/>
    <w:rsid w:val="00144EB5"/>
    <w:rsid w:val="00145AF9"/>
    <w:rsid w:val="0014632D"/>
    <w:rsid w:val="00147263"/>
    <w:rsid w:val="0014735D"/>
    <w:rsid w:val="0014781D"/>
    <w:rsid w:val="00150A06"/>
    <w:rsid w:val="00150FCA"/>
    <w:rsid w:val="00153988"/>
    <w:rsid w:val="00155BF3"/>
    <w:rsid w:val="001575AC"/>
    <w:rsid w:val="00164127"/>
    <w:rsid w:val="00164226"/>
    <w:rsid w:val="00164CDA"/>
    <w:rsid w:val="001670FE"/>
    <w:rsid w:val="00167C9A"/>
    <w:rsid w:val="00170187"/>
    <w:rsid w:val="0017193D"/>
    <w:rsid w:val="00172BF8"/>
    <w:rsid w:val="001739BB"/>
    <w:rsid w:val="00174F95"/>
    <w:rsid w:val="001752D2"/>
    <w:rsid w:val="00175405"/>
    <w:rsid w:val="0017594E"/>
    <w:rsid w:val="001762E7"/>
    <w:rsid w:val="00176D98"/>
    <w:rsid w:val="001773F4"/>
    <w:rsid w:val="00177B3E"/>
    <w:rsid w:val="00180074"/>
    <w:rsid w:val="00180132"/>
    <w:rsid w:val="00180238"/>
    <w:rsid w:val="0018030C"/>
    <w:rsid w:val="0018305C"/>
    <w:rsid w:val="00183A7C"/>
    <w:rsid w:val="00183C21"/>
    <w:rsid w:val="00184A66"/>
    <w:rsid w:val="00186A2C"/>
    <w:rsid w:val="00186C0E"/>
    <w:rsid w:val="00187A6B"/>
    <w:rsid w:val="00187BA5"/>
    <w:rsid w:val="00190101"/>
    <w:rsid w:val="00191F17"/>
    <w:rsid w:val="0019265C"/>
    <w:rsid w:val="00193586"/>
    <w:rsid w:val="001957FC"/>
    <w:rsid w:val="001A0098"/>
    <w:rsid w:val="001A01C3"/>
    <w:rsid w:val="001A14A9"/>
    <w:rsid w:val="001A1903"/>
    <w:rsid w:val="001A1988"/>
    <w:rsid w:val="001A2BEB"/>
    <w:rsid w:val="001A4DB5"/>
    <w:rsid w:val="001A50A6"/>
    <w:rsid w:val="001A59F4"/>
    <w:rsid w:val="001A7820"/>
    <w:rsid w:val="001B03A7"/>
    <w:rsid w:val="001B2569"/>
    <w:rsid w:val="001B4662"/>
    <w:rsid w:val="001B5DE2"/>
    <w:rsid w:val="001B7B57"/>
    <w:rsid w:val="001C057B"/>
    <w:rsid w:val="001C0FCA"/>
    <w:rsid w:val="001C1354"/>
    <w:rsid w:val="001C1D17"/>
    <w:rsid w:val="001C2DF7"/>
    <w:rsid w:val="001C33E8"/>
    <w:rsid w:val="001C3B18"/>
    <w:rsid w:val="001C3CAB"/>
    <w:rsid w:val="001C5087"/>
    <w:rsid w:val="001C54BC"/>
    <w:rsid w:val="001C6171"/>
    <w:rsid w:val="001C682B"/>
    <w:rsid w:val="001C74B0"/>
    <w:rsid w:val="001D04E5"/>
    <w:rsid w:val="001D0A9C"/>
    <w:rsid w:val="001D2ABA"/>
    <w:rsid w:val="001D2F7D"/>
    <w:rsid w:val="001D3120"/>
    <w:rsid w:val="001E1127"/>
    <w:rsid w:val="001E1BE9"/>
    <w:rsid w:val="001E1E11"/>
    <w:rsid w:val="001E2ECF"/>
    <w:rsid w:val="001E3359"/>
    <w:rsid w:val="001E3F56"/>
    <w:rsid w:val="001E4DBB"/>
    <w:rsid w:val="001E5940"/>
    <w:rsid w:val="001F0B99"/>
    <w:rsid w:val="001F18A7"/>
    <w:rsid w:val="001F3677"/>
    <w:rsid w:val="001F3C0E"/>
    <w:rsid w:val="001F45AB"/>
    <w:rsid w:val="001F48D5"/>
    <w:rsid w:val="001F5BC2"/>
    <w:rsid w:val="001F6509"/>
    <w:rsid w:val="001F6D8F"/>
    <w:rsid w:val="001F77C6"/>
    <w:rsid w:val="00204107"/>
    <w:rsid w:val="00204A04"/>
    <w:rsid w:val="00204C31"/>
    <w:rsid w:val="00204DDC"/>
    <w:rsid w:val="00210AD7"/>
    <w:rsid w:val="00210CDA"/>
    <w:rsid w:val="00212C76"/>
    <w:rsid w:val="00213ACA"/>
    <w:rsid w:val="00214617"/>
    <w:rsid w:val="002147BD"/>
    <w:rsid w:val="0021756F"/>
    <w:rsid w:val="0021760A"/>
    <w:rsid w:val="002206B7"/>
    <w:rsid w:val="00220EA8"/>
    <w:rsid w:val="002226F4"/>
    <w:rsid w:val="00224098"/>
    <w:rsid w:val="0022573A"/>
    <w:rsid w:val="00225BD8"/>
    <w:rsid w:val="00227E56"/>
    <w:rsid w:val="00227F20"/>
    <w:rsid w:val="002308CF"/>
    <w:rsid w:val="00232838"/>
    <w:rsid w:val="00233064"/>
    <w:rsid w:val="002336DA"/>
    <w:rsid w:val="0023487F"/>
    <w:rsid w:val="002351DF"/>
    <w:rsid w:val="00236CF4"/>
    <w:rsid w:val="0024178C"/>
    <w:rsid w:val="00242C67"/>
    <w:rsid w:val="00242DC9"/>
    <w:rsid w:val="00243E9A"/>
    <w:rsid w:val="00245212"/>
    <w:rsid w:val="002458FC"/>
    <w:rsid w:val="002462DD"/>
    <w:rsid w:val="002467B4"/>
    <w:rsid w:val="00247249"/>
    <w:rsid w:val="00247F01"/>
    <w:rsid w:val="00251BE0"/>
    <w:rsid w:val="002520B5"/>
    <w:rsid w:val="002521C5"/>
    <w:rsid w:val="00253183"/>
    <w:rsid w:val="00254B77"/>
    <w:rsid w:val="00256CD9"/>
    <w:rsid w:val="00256DF0"/>
    <w:rsid w:val="002604A4"/>
    <w:rsid w:val="002606F8"/>
    <w:rsid w:val="00260C27"/>
    <w:rsid w:val="00261DEE"/>
    <w:rsid w:val="002625E0"/>
    <w:rsid w:val="00264A6C"/>
    <w:rsid w:val="00264F54"/>
    <w:rsid w:val="0026546A"/>
    <w:rsid w:val="0026624D"/>
    <w:rsid w:val="00266309"/>
    <w:rsid w:val="00266613"/>
    <w:rsid w:val="0026787A"/>
    <w:rsid w:val="00267D14"/>
    <w:rsid w:val="0027022E"/>
    <w:rsid w:val="00270833"/>
    <w:rsid w:val="00272899"/>
    <w:rsid w:val="00272A77"/>
    <w:rsid w:val="00273809"/>
    <w:rsid w:val="00273ACA"/>
    <w:rsid w:val="00274D7F"/>
    <w:rsid w:val="002762B7"/>
    <w:rsid w:val="002801F8"/>
    <w:rsid w:val="002808B6"/>
    <w:rsid w:val="0028157D"/>
    <w:rsid w:val="002833CF"/>
    <w:rsid w:val="002862EB"/>
    <w:rsid w:val="0028651B"/>
    <w:rsid w:val="002871BB"/>
    <w:rsid w:val="00290D92"/>
    <w:rsid w:val="00291DEA"/>
    <w:rsid w:val="0029463F"/>
    <w:rsid w:val="00295125"/>
    <w:rsid w:val="002957C9"/>
    <w:rsid w:val="00296AC1"/>
    <w:rsid w:val="00297B40"/>
    <w:rsid w:val="002A1302"/>
    <w:rsid w:val="002A154F"/>
    <w:rsid w:val="002A1AEA"/>
    <w:rsid w:val="002A225F"/>
    <w:rsid w:val="002A242B"/>
    <w:rsid w:val="002A3057"/>
    <w:rsid w:val="002A4DA8"/>
    <w:rsid w:val="002A61E3"/>
    <w:rsid w:val="002B09CA"/>
    <w:rsid w:val="002B17B6"/>
    <w:rsid w:val="002B1F1D"/>
    <w:rsid w:val="002B28E3"/>
    <w:rsid w:val="002B2A17"/>
    <w:rsid w:val="002B2E11"/>
    <w:rsid w:val="002B34F1"/>
    <w:rsid w:val="002B46E2"/>
    <w:rsid w:val="002B629B"/>
    <w:rsid w:val="002B7902"/>
    <w:rsid w:val="002B79B7"/>
    <w:rsid w:val="002B79CE"/>
    <w:rsid w:val="002B79E6"/>
    <w:rsid w:val="002B7B00"/>
    <w:rsid w:val="002C0A90"/>
    <w:rsid w:val="002C1518"/>
    <w:rsid w:val="002C1AC1"/>
    <w:rsid w:val="002C2AD0"/>
    <w:rsid w:val="002C3EF8"/>
    <w:rsid w:val="002C7F60"/>
    <w:rsid w:val="002D043A"/>
    <w:rsid w:val="002D0D87"/>
    <w:rsid w:val="002D4B77"/>
    <w:rsid w:val="002D5299"/>
    <w:rsid w:val="002D56CB"/>
    <w:rsid w:val="002D71AA"/>
    <w:rsid w:val="002D73EF"/>
    <w:rsid w:val="002D7775"/>
    <w:rsid w:val="002E16C3"/>
    <w:rsid w:val="002E19E7"/>
    <w:rsid w:val="002E1A4C"/>
    <w:rsid w:val="002E1EEE"/>
    <w:rsid w:val="002E3753"/>
    <w:rsid w:val="002E4F63"/>
    <w:rsid w:val="002E605C"/>
    <w:rsid w:val="002E69FD"/>
    <w:rsid w:val="002F098E"/>
    <w:rsid w:val="002F0C10"/>
    <w:rsid w:val="002F4E48"/>
    <w:rsid w:val="003002B3"/>
    <w:rsid w:val="003009BD"/>
    <w:rsid w:val="00301C26"/>
    <w:rsid w:val="00302A9C"/>
    <w:rsid w:val="00302BCA"/>
    <w:rsid w:val="00302DBF"/>
    <w:rsid w:val="00302E31"/>
    <w:rsid w:val="00304A39"/>
    <w:rsid w:val="003065B7"/>
    <w:rsid w:val="00307470"/>
    <w:rsid w:val="00312188"/>
    <w:rsid w:val="00313221"/>
    <w:rsid w:val="00313BA7"/>
    <w:rsid w:val="00314BFB"/>
    <w:rsid w:val="00314DB5"/>
    <w:rsid w:val="00314ED4"/>
    <w:rsid w:val="003165A0"/>
    <w:rsid w:val="00317EFD"/>
    <w:rsid w:val="00320141"/>
    <w:rsid w:val="00320814"/>
    <w:rsid w:val="003209A2"/>
    <w:rsid w:val="00320F3E"/>
    <w:rsid w:val="0032106E"/>
    <w:rsid w:val="00321B40"/>
    <w:rsid w:val="0032210A"/>
    <w:rsid w:val="0032296D"/>
    <w:rsid w:val="003241F8"/>
    <w:rsid w:val="0032440B"/>
    <w:rsid w:val="003271A1"/>
    <w:rsid w:val="003278A6"/>
    <w:rsid w:val="00327A59"/>
    <w:rsid w:val="00327EF3"/>
    <w:rsid w:val="00330DCA"/>
    <w:rsid w:val="00331F7B"/>
    <w:rsid w:val="00335363"/>
    <w:rsid w:val="00340968"/>
    <w:rsid w:val="003413D9"/>
    <w:rsid w:val="00341D9B"/>
    <w:rsid w:val="003442D6"/>
    <w:rsid w:val="00346B7E"/>
    <w:rsid w:val="003473DE"/>
    <w:rsid w:val="003511A6"/>
    <w:rsid w:val="00351B0F"/>
    <w:rsid w:val="0035207C"/>
    <w:rsid w:val="003533C8"/>
    <w:rsid w:val="00354B22"/>
    <w:rsid w:val="00355AE5"/>
    <w:rsid w:val="00356396"/>
    <w:rsid w:val="0036264E"/>
    <w:rsid w:val="003627A4"/>
    <w:rsid w:val="0036285C"/>
    <w:rsid w:val="003635B9"/>
    <w:rsid w:val="003637F8"/>
    <w:rsid w:val="00363CDD"/>
    <w:rsid w:val="003645EA"/>
    <w:rsid w:val="00364C1D"/>
    <w:rsid w:val="0036567F"/>
    <w:rsid w:val="003660B1"/>
    <w:rsid w:val="00366364"/>
    <w:rsid w:val="0036728F"/>
    <w:rsid w:val="00367760"/>
    <w:rsid w:val="003719D5"/>
    <w:rsid w:val="00372445"/>
    <w:rsid w:val="0037312E"/>
    <w:rsid w:val="00375929"/>
    <w:rsid w:val="00376735"/>
    <w:rsid w:val="00376D88"/>
    <w:rsid w:val="00376FB4"/>
    <w:rsid w:val="003803F0"/>
    <w:rsid w:val="00383444"/>
    <w:rsid w:val="00383AB8"/>
    <w:rsid w:val="00383ED2"/>
    <w:rsid w:val="003842D7"/>
    <w:rsid w:val="0038610A"/>
    <w:rsid w:val="00387231"/>
    <w:rsid w:val="00387B8D"/>
    <w:rsid w:val="0039041A"/>
    <w:rsid w:val="00392004"/>
    <w:rsid w:val="00393F51"/>
    <w:rsid w:val="00394912"/>
    <w:rsid w:val="00395827"/>
    <w:rsid w:val="003963CE"/>
    <w:rsid w:val="003A029E"/>
    <w:rsid w:val="003A2AAB"/>
    <w:rsid w:val="003A3302"/>
    <w:rsid w:val="003A3390"/>
    <w:rsid w:val="003A3439"/>
    <w:rsid w:val="003A42D5"/>
    <w:rsid w:val="003A768D"/>
    <w:rsid w:val="003B00D1"/>
    <w:rsid w:val="003B0581"/>
    <w:rsid w:val="003B17BB"/>
    <w:rsid w:val="003B18BA"/>
    <w:rsid w:val="003B1C2F"/>
    <w:rsid w:val="003B294C"/>
    <w:rsid w:val="003B29B0"/>
    <w:rsid w:val="003B311A"/>
    <w:rsid w:val="003B3C9C"/>
    <w:rsid w:val="003B4305"/>
    <w:rsid w:val="003B5C44"/>
    <w:rsid w:val="003C3466"/>
    <w:rsid w:val="003C36D7"/>
    <w:rsid w:val="003C412B"/>
    <w:rsid w:val="003C5794"/>
    <w:rsid w:val="003C5807"/>
    <w:rsid w:val="003D0C14"/>
    <w:rsid w:val="003D1815"/>
    <w:rsid w:val="003D19A5"/>
    <w:rsid w:val="003D1D86"/>
    <w:rsid w:val="003D455A"/>
    <w:rsid w:val="003D5F0A"/>
    <w:rsid w:val="003D6E83"/>
    <w:rsid w:val="003D7297"/>
    <w:rsid w:val="003D7C5B"/>
    <w:rsid w:val="003E05A0"/>
    <w:rsid w:val="003E0A1C"/>
    <w:rsid w:val="003E1E4B"/>
    <w:rsid w:val="003E2397"/>
    <w:rsid w:val="003E299C"/>
    <w:rsid w:val="003E5487"/>
    <w:rsid w:val="003E5DCE"/>
    <w:rsid w:val="003E6EE7"/>
    <w:rsid w:val="003F0618"/>
    <w:rsid w:val="003F098D"/>
    <w:rsid w:val="003F11AC"/>
    <w:rsid w:val="003F543E"/>
    <w:rsid w:val="003F5512"/>
    <w:rsid w:val="003F6EA3"/>
    <w:rsid w:val="003F748D"/>
    <w:rsid w:val="003F74F6"/>
    <w:rsid w:val="003F7ECF"/>
    <w:rsid w:val="00401179"/>
    <w:rsid w:val="00403A71"/>
    <w:rsid w:val="004047FE"/>
    <w:rsid w:val="004052FC"/>
    <w:rsid w:val="00405E04"/>
    <w:rsid w:val="00407E6C"/>
    <w:rsid w:val="004105BF"/>
    <w:rsid w:val="00411F00"/>
    <w:rsid w:val="00411F6C"/>
    <w:rsid w:val="00413B93"/>
    <w:rsid w:val="00413FAC"/>
    <w:rsid w:val="004167FA"/>
    <w:rsid w:val="00416D7D"/>
    <w:rsid w:val="00416E3B"/>
    <w:rsid w:val="004176AE"/>
    <w:rsid w:val="00417B71"/>
    <w:rsid w:val="004201C3"/>
    <w:rsid w:val="004203E4"/>
    <w:rsid w:val="00420405"/>
    <w:rsid w:val="0042128E"/>
    <w:rsid w:val="00422B71"/>
    <w:rsid w:val="004240BC"/>
    <w:rsid w:val="00424741"/>
    <w:rsid w:val="004247C2"/>
    <w:rsid w:val="0042641F"/>
    <w:rsid w:val="00430EB5"/>
    <w:rsid w:val="004323C4"/>
    <w:rsid w:val="00432C0C"/>
    <w:rsid w:val="00433953"/>
    <w:rsid w:val="00433C20"/>
    <w:rsid w:val="004355F6"/>
    <w:rsid w:val="00436268"/>
    <w:rsid w:val="004367C6"/>
    <w:rsid w:val="00437057"/>
    <w:rsid w:val="00437D5E"/>
    <w:rsid w:val="00440425"/>
    <w:rsid w:val="00442114"/>
    <w:rsid w:val="00442FDB"/>
    <w:rsid w:val="00443992"/>
    <w:rsid w:val="0044406E"/>
    <w:rsid w:val="004445B3"/>
    <w:rsid w:val="0044493B"/>
    <w:rsid w:val="00444C73"/>
    <w:rsid w:val="00445C45"/>
    <w:rsid w:val="0044676B"/>
    <w:rsid w:val="00451804"/>
    <w:rsid w:val="00452A9E"/>
    <w:rsid w:val="00452DCC"/>
    <w:rsid w:val="00453DE6"/>
    <w:rsid w:val="0045420C"/>
    <w:rsid w:val="004547D6"/>
    <w:rsid w:val="004566D6"/>
    <w:rsid w:val="0045763F"/>
    <w:rsid w:val="00462222"/>
    <w:rsid w:val="00463C5F"/>
    <w:rsid w:val="00463E4D"/>
    <w:rsid w:val="00463FCC"/>
    <w:rsid w:val="00466635"/>
    <w:rsid w:val="0046768D"/>
    <w:rsid w:val="0047087C"/>
    <w:rsid w:val="004719F4"/>
    <w:rsid w:val="004731D0"/>
    <w:rsid w:val="0047467B"/>
    <w:rsid w:val="00475145"/>
    <w:rsid w:val="00475B9C"/>
    <w:rsid w:val="00476339"/>
    <w:rsid w:val="004769E1"/>
    <w:rsid w:val="00482108"/>
    <w:rsid w:val="00486273"/>
    <w:rsid w:val="004909FB"/>
    <w:rsid w:val="00491B03"/>
    <w:rsid w:val="00491CC1"/>
    <w:rsid w:val="00492212"/>
    <w:rsid w:val="00492B7D"/>
    <w:rsid w:val="00492D20"/>
    <w:rsid w:val="00493803"/>
    <w:rsid w:val="0049387F"/>
    <w:rsid w:val="004962A1"/>
    <w:rsid w:val="00496477"/>
    <w:rsid w:val="004967AE"/>
    <w:rsid w:val="004A0CE3"/>
    <w:rsid w:val="004A202D"/>
    <w:rsid w:val="004A3354"/>
    <w:rsid w:val="004A386B"/>
    <w:rsid w:val="004A3FA5"/>
    <w:rsid w:val="004A4568"/>
    <w:rsid w:val="004A498B"/>
    <w:rsid w:val="004A6744"/>
    <w:rsid w:val="004A6960"/>
    <w:rsid w:val="004A6C7B"/>
    <w:rsid w:val="004A6E30"/>
    <w:rsid w:val="004A7591"/>
    <w:rsid w:val="004B13F3"/>
    <w:rsid w:val="004B278F"/>
    <w:rsid w:val="004B35EB"/>
    <w:rsid w:val="004B5E92"/>
    <w:rsid w:val="004B62E3"/>
    <w:rsid w:val="004B7BEB"/>
    <w:rsid w:val="004C0B99"/>
    <w:rsid w:val="004C0E4C"/>
    <w:rsid w:val="004C114A"/>
    <w:rsid w:val="004C16CB"/>
    <w:rsid w:val="004C210E"/>
    <w:rsid w:val="004C22A2"/>
    <w:rsid w:val="004C374D"/>
    <w:rsid w:val="004C3E22"/>
    <w:rsid w:val="004C54D3"/>
    <w:rsid w:val="004C5558"/>
    <w:rsid w:val="004C5CA4"/>
    <w:rsid w:val="004C65B1"/>
    <w:rsid w:val="004D0C96"/>
    <w:rsid w:val="004D0F4C"/>
    <w:rsid w:val="004D26E6"/>
    <w:rsid w:val="004D2B11"/>
    <w:rsid w:val="004D3673"/>
    <w:rsid w:val="004D48E7"/>
    <w:rsid w:val="004D520B"/>
    <w:rsid w:val="004D56C0"/>
    <w:rsid w:val="004D5AD0"/>
    <w:rsid w:val="004D7EB7"/>
    <w:rsid w:val="004E3D5E"/>
    <w:rsid w:val="004E3EA2"/>
    <w:rsid w:val="004E4518"/>
    <w:rsid w:val="004E5F12"/>
    <w:rsid w:val="004E6E86"/>
    <w:rsid w:val="004E74EC"/>
    <w:rsid w:val="004E7AAB"/>
    <w:rsid w:val="004E7C29"/>
    <w:rsid w:val="004F025E"/>
    <w:rsid w:val="004F0563"/>
    <w:rsid w:val="004F08BD"/>
    <w:rsid w:val="004F17CA"/>
    <w:rsid w:val="004F1CBD"/>
    <w:rsid w:val="004F2967"/>
    <w:rsid w:val="004F463C"/>
    <w:rsid w:val="004F532A"/>
    <w:rsid w:val="004F602A"/>
    <w:rsid w:val="004F69D2"/>
    <w:rsid w:val="004F6F76"/>
    <w:rsid w:val="004F74CD"/>
    <w:rsid w:val="004F7C11"/>
    <w:rsid w:val="004F7F85"/>
    <w:rsid w:val="005009B3"/>
    <w:rsid w:val="005028B7"/>
    <w:rsid w:val="0050294F"/>
    <w:rsid w:val="00503BE2"/>
    <w:rsid w:val="005040C5"/>
    <w:rsid w:val="00505082"/>
    <w:rsid w:val="00510839"/>
    <w:rsid w:val="005114F1"/>
    <w:rsid w:val="00511880"/>
    <w:rsid w:val="00512472"/>
    <w:rsid w:val="00512FF3"/>
    <w:rsid w:val="005132C3"/>
    <w:rsid w:val="00513CD5"/>
    <w:rsid w:val="00514246"/>
    <w:rsid w:val="0051735B"/>
    <w:rsid w:val="005173CB"/>
    <w:rsid w:val="00517CBF"/>
    <w:rsid w:val="005200BB"/>
    <w:rsid w:val="00521860"/>
    <w:rsid w:val="00523355"/>
    <w:rsid w:val="00524178"/>
    <w:rsid w:val="00524BD6"/>
    <w:rsid w:val="00525B08"/>
    <w:rsid w:val="00526589"/>
    <w:rsid w:val="00526639"/>
    <w:rsid w:val="00526A90"/>
    <w:rsid w:val="00526AE1"/>
    <w:rsid w:val="00527FCB"/>
    <w:rsid w:val="00530AFA"/>
    <w:rsid w:val="005318B6"/>
    <w:rsid w:val="0053337B"/>
    <w:rsid w:val="00533F3C"/>
    <w:rsid w:val="00534C5A"/>
    <w:rsid w:val="0054049B"/>
    <w:rsid w:val="00541164"/>
    <w:rsid w:val="00542A68"/>
    <w:rsid w:val="00545170"/>
    <w:rsid w:val="00547C31"/>
    <w:rsid w:val="00550465"/>
    <w:rsid w:val="00550C34"/>
    <w:rsid w:val="00551E28"/>
    <w:rsid w:val="00553260"/>
    <w:rsid w:val="00553EA3"/>
    <w:rsid w:val="005546F8"/>
    <w:rsid w:val="00555340"/>
    <w:rsid w:val="00555AF0"/>
    <w:rsid w:val="00555D3C"/>
    <w:rsid w:val="0055616A"/>
    <w:rsid w:val="005634CF"/>
    <w:rsid w:val="00563CD0"/>
    <w:rsid w:val="00563D3A"/>
    <w:rsid w:val="00564A36"/>
    <w:rsid w:val="005659C0"/>
    <w:rsid w:val="00566A63"/>
    <w:rsid w:val="00567982"/>
    <w:rsid w:val="005705F1"/>
    <w:rsid w:val="005709BD"/>
    <w:rsid w:val="005710FD"/>
    <w:rsid w:val="00572188"/>
    <w:rsid w:val="00572801"/>
    <w:rsid w:val="0057341A"/>
    <w:rsid w:val="00573A9B"/>
    <w:rsid w:val="00574F3E"/>
    <w:rsid w:val="00575D7A"/>
    <w:rsid w:val="00575FDF"/>
    <w:rsid w:val="0057605F"/>
    <w:rsid w:val="00576386"/>
    <w:rsid w:val="0058243A"/>
    <w:rsid w:val="00582750"/>
    <w:rsid w:val="00585A95"/>
    <w:rsid w:val="00585E7F"/>
    <w:rsid w:val="00587E87"/>
    <w:rsid w:val="0059025C"/>
    <w:rsid w:val="0059132D"/>
    <w:rsid w:val="00592DF3"/>
    <w:rsid w:val="00593BEF"/>
    <w:rsid w:val="005956D5"/>
    <w:rsid w:val="0059635C"/>
    <w:rsid w:val="005A0188"/>
    <w:rsid w:val="005A0459"/>
    <w:rsid w:val="005A19D4"/>
    <w:rsid w:val="005A3B2A"/>
    <w:rsid w:val="005A48A1"/>
    <w:rsid w:val="005A5C85"/>
    <w:rsid w:val="005A6486"/>
    <w:rsid w:val="005A680F"/>
    <w:rsid w:val="005B107E"/>
    <w:rsid w:val="005B1194"/>
    <w:rsid w:val="005B1201"/>
    <w:rsid w:val="005B2302"/>
    <w:rsid w:val="005B3FF8"/>
    <w:rsid w:val="005B4A85"/>
    <w:rsid w:val="005B523A"/>
    <w:rsid w:val="005C0171"/>
    <w:rsid w:val="005C0437"/>
    <w:rsid w:val="005C15B6"/>
    <w:rsid w:val="005C4A7E"/>
    <w:rsid w:val="005C65CF"/>
    <w:rsid w:val="005C7A65"/>
    <w:rsid w:val="005D2ECC"/>
    <w:rsid w:val="005D30F3"/>
    <w:rsid w:val="005D414C"/>
    <w:rsid w:val="005D4AAE"/>
    <w:rsid w:val="005D5117"/>
    <w:rsid w:val="005D5197"/>
    <w:rsid w:val="005D5B0B"/>
    <w:rsid w:val="005D7683"/>
    <w:rsid w:val="005E023A"/>
    <w:rsid w:val="005E06A8"/>
    <w:rsid w:val="005E0C2F"/>
    <w:rsid w:val="005E12B4"/>
    <w:rsid w:val="005E1B9C"/>
    <w:rsid w:val="005E2018"/>
    <w:rsid w:val="005E2E6D"/>
    <w:rsid w:val="005E3FA0"/>
    <w:rsid w:val="005E6B11"/>
    <w:rsid w:val="005F0D92"/>
    <w:rsid w:val="005F375B"/>
    <w:rsid w:val="005F4A5B"/>
    <w:rsid w:val="005F5324"/>
    <w:rsid w:val="005F5BE1"/>
    <w:rsid w:val="005F711F"/>
    <w:rsid w:val="005F7431"/>
    <w:rsid w:val="005F7680"/>
    <w:rsid w:val="00600B46"/>
    <w:rsid w:val="006051DB"/>
    <w:rsid w:val="0060647F"/>
    <w:rsid w:val="0060703D"/>
    <w:rsid w:val="006113A4"/>
    <w:rsid w:val="006114CB"/>
    <w:rsid w:val="00611BD3"/>
    <w:rsid w:val="006127F9"/>
    <w:rsid w:val="00612F1E"/>
    <w:rsid w:val="006130C0"/>
    <w:rsid w:val="006157F0"/>
    <w:rsid w:val="0062021D"/>
    <w:rsid w:val="006209AA"/>
    <w:rsid w:val="00621100"/>
    <w:rsid w:val="0062119A"/>
    <w:rsid w:val="00621AFB"/>
    <w:rsid w:val="00622802"/>
    <w:rsid w:val="00623256"/>
    <w:rsid w:val="0062382A"/>
    <w:rsid w:val="0062590F"/>
    <w:rsid w:val="00625A06"/>
    <w:rsid w:val="00626ADE"/>
    <w:rsid w:val="00626AED"/>
    <w:rsid w:val="00626F8B"/>
    <w:rsid w:val="00627877"/>
    <w:rsid w:val="006279D1"/>
    <w:rsid w:val="00632AE2"/>
    <w:rsid w:val="0063347E"/>
    <w:rsid w:val="00633DE7"/>
    <w:rsid w:val="006351B7"/>
    <w:rsid w:val="00637365"/>
    <w:rsid w:val="0064253D"/>
    <w:rsid w:val="00644AA1"/>
    <w:rsid w:val="0064562F"/>
    <w:rsid w:val="0064646C"/>
    <w:rsid w:val="006472DB"/>
    <w:rsid w:val="00647EA4"/>
    <w:rsid w:val="006505C5"/>
    <w:rsid w:val="00651BB8"/>
    <w:rsid w:val="00652A37"/>
    <w:rsid w:val="00653046"/>
    <w:rsid w:val="00653F10"/>
    <w:rsid w:val="006553FB"/>
    <w:rsid w:val="00656C61"/>
    <w:rsid w:val="00656E68"/>
    <w:rsid w:val="00657731"/>
    <w:rsid w:val="00657C4C"/>
    <w:rsid w:val="006605FB"/>
    <w:rsid w:val="00661DF8"/>
    <w:rsid w:val="00661E32"/>
    <w:rsid w:val="00662442"/>
    <w:rsid w:val="006632E6"/>
    <w:rsid w:val="00665070"/>
    <w:rsid w:val="00665826"/>
    <w:rsid w:val="00665C3D"/>
    <w:rsid w:val="00670477"/>
    <w:rsid w:val="00671823"/>
    <w:rsid w:val="00674593"/>
    <w:rsid w:val="006760D6"/>
    <w:rsid w:val="00676A0F"/>
    <w:rsid w:val="00676BE7"/>
    <w:rsid w:val="00677538"/>
    <w:rsid w:val="00677973"/>
    <w:rsid w:val="00680224"/>
    <w:rsid w:val="00680992"/>
    <w:rsid w:val="006813C4"/>
    <w:rsid w:val="00681AF5"/>
    <w:rsid w:val="00682BB1"/>
    <w:rsid w:val="00682F1B"/>
    <w:rsid w:val="006842BF"/>
    <w:rsid w:val="006849F3"/>
    <w:rsid w:val="006903C6"/>
    <w:rsid w:val="00690812"/>
    <w:rsid w:val="00691930"/>
    <w:rsid w:val="00694356"/>
    <w:rsid w:val="006A16A4"/>
    <w:rsid w:val="006A37F4"/>
    <w:rsid w:val="006A3D4B"/>
    <w:rsid w:val="006A440B"/>
    <w:rsid w:val="006A46A4"/>
    <w:rsid w:val="006A64B6"/>
    <w:rsid w:val="006A6850"/>
    <w:rsid w:val="006A6A47"/>
    <w:rsid w:val="006A6EB6"/>
    <w:rsid w:val="006A7130"/>
    <w:rsid w:val="006A7946"/>
    <w:rsid w:val="006A7C8B"/>
    <w:rsid w:val="006B15DF"/>
    <w:rsid w:val="006B1F0D"/>
    <w:rsid w:val="006B28A9"/>
    <w:rsid w:val="006B2E85"/>
    <w:rsid w:val="006B3573"/>
    <w:rsid w:val="006B423E"/>
    <w:rsid w:val="006B559F"/>
    <w:rsid w:val="006B55D1"/>
    <w:rsid w:val="006B7DEA"/>
    <w:rsid w:val="006B7EBA"/>
    <w:rsid w:val="006C11C3"/>
    <w:rsid w:val="006C2A2A"/>
    <w:rsid w:val="006C2FA1"/>
    <w:rsid w:val="006C3733"/>
    <w:rsid w:val="006C4827"/>
    <w:rsid w:val="006C4DC2"/>
    <w:rsid w:val="006C5990"/>
    <w:rsid w:val="006C5C0B"/>
    <w:rsid w:val="006C5F58"/>
    <w:rsid w:val="006C65BA"/>
    <w:rsid w:val="006C7278"/>
    <w:rsid w:val="006C7418"/>
    <w:rsid w:val="006C77FA"/>
    <w:rsid w:val="006C7E31"/>
    <w:rsid w:val="006D0401"/>
    <w:rsid w:val="006D0FDD"/>
    <w:rsid w:val="006D2B87"/>
    <w:rsid w:val="006D340B"/>
    <w:rsid w:val="006D48D0"/>
    <w:rsid w:val="006D5D5F"/>
    <w:rsid w:val="006D74BD"/>
    <w:rsid w:val="006D7DA4"/>
    <w:rsid w:val="006E1727"/>
    <w:rsid w:val="006E18A5"/>
    <w:rsid w:val="006E39DA"/>
    <w:rsid w:val="006E3D6B"/>
    <w:rsid w:val="006E4EF1"/>
    <w:rsid w:val="006E67A2"/>
    <w:rsid w:val="006E710A"/>
    <w:rsid w:val="006F021B"/>
    <w:rsid w:val="006F039A"/>
    <w:rsid w:val="006F1283"/>
    <w:rsid w:val="006F17DE"/>
    <w:rsid w:val="006F610E"/>
    <w:rsid w:val="006F6208"/>
    <w:rsid w:val="006F7B01"/>
    <w:rsid w:val="006F7C02"/>
    <w:rsid w:val="0070196B"/>
    <w:rsid w:val="007045CB"/>
    <w:rsid w:val="007048BD"/>
    <w:rsid w:val="0070677A"/>
    <w:rsid w:val="00706A8C"/>
    <w:rsid w:val="00706FC3"/>
    <w:rsid w:val="007078C7"/>
    <w:rsid w:val="00710BEB"/>
    <w:rsid w:val="00710F51"/>
    <w:rsid w:val="0071107C"/>
    <w:rsid w:val="00711611"/>
    <w:rsid w:val="00711D74"/>
    <w:rsid w:val="0071275A"/>
    <w:rsid w:val="00712E96"/>
    <w:rsid w:val="00716B44"/>
    <w:rsid w:val="00720E49"/>
    <w:rsid w:val="007239F5"/>
    <w:rsid w:val="00724DD0"/>
    <w:rsid w:val="00726DA7"/>
    <w:rsid w:val="00727A12"/>
    <w:rsid w:val="00730251"/>
    <w:rsid w:val="00735411"/>
    <w:rsid w:val="00735D1F"/>
    <w:rsid w:val="00736301"/>
    <w:rsid w:val="00736DE9"/>
    <w:rsid w:val="00740A10"/>
    <w:rsid w:val="00740B01"/>
    <w:rsid w:val="00740B92"/>
    <w:rsid w:val="00740E7D"/>
    <w:rsid w:val="00741090"/>
    <w:rsid w:val="00741C0A"/>
    <w:rsid w:val="00741D81"/>
    <w:rsid w:val="00742054"/>
    <w:rsid w:val="00742139"/>
    <w:rsid w:val="00742182"/>
    <w:rsid w:val="00747094"/>
    <w:rsid w:val="007471FB"/>
    <w:rsid w:val="00747CD2"/>
    <w:rsid w:val="00750244"/>
    <w:rsid w:val="0075098B"/>
    <w:rsid w:val="007525D5"/>
    <w:rsid w:val="00753EB3"/>
    <w:rsid w:val="007544A7"/>
    <w:rsid w:val="00754737"/>
    <w:rsid w:val="00755117"/>
    <w:rsid w:val="00757FFC"/>
    <w:rsid w:val="00762667"/>
    <w:rsid w:val="007652BA"/>
    <w:rsid w:val="007658BD"/>
    <w:rsid w:val="00765DD2"/>
    <w:rsid w:val="00766301"/>
    <w:rsid w:val="007672C3"/>
    <w:rsid w:val="007675F7"/>
    <w:rsid w:val="00770E23"/>
    <w:rsid w:val="00773119"/>
    <w:rsid w:val="00773886"/>
    <w:rsid w:val="0077399F"/>
    <w:rsid w:val="00775F6C"/>
    <w:rsid w:val="007774DC"/>
    <w:rsid w:val="0078011E"/>
    <w:rsid w:val="00781485"/>
    <w:rsid w:val="00781F32"/>
    <w:rsid w:val="007840A0"/>
    <w:rsid w:val="00784167"/>
    <w:rsid w:val="00784389"/>
    <w:rsid w:val="007849AD"/>
    <w:rsid w:val="00785BF4"/>
    <w:rsid w:val="00785F5E"/>
    <w:rsid w:val="007860A2"/>
    <w:rsid w:val="00787968"/>
    <w:rsid w:val="00791B17"/>
    <w:rsid w:val="00792D04"/>
    <w:rsid w:val="00793109"/>
    <w:rsid w:val="00794391"/>
    <w:rsid w:val="0079474B"/>
    <w:rsid w:val="00794F28"/>
    <w:rsid w:val="007957CB"/>
    <w:rsid w:val="007961F0"/>
    <w:rsid w:val="007A20E9"/>
    <w:rsid w:val="007A2880"/>
    <w:rsid w:val="007A3DB2"/>
    <w:rsid w:val="007A4D6B"/>
    <w:rsid w:val="007B1E18"/>
    <w:rsid w:val="007B1FB3"/>
    <w:rsid w:val="007B4DD4"/>
    <w:rsid w:val="007B4F6F"/>
    <w:rsid w:val="007B5731"/>
    <w:rsid w:val="007B62AD"/>
    <w:rsid w:val="007B7B77"/>
    <w:rsid w:val="007C1880"/>
    <w:rsid w:val="007C25B1"/>
    <w:rsid w:val="007C29A1"/>
    <w:rsid w:val="007C29E1"/>
    <w:rsid w:val="007C2C8E"/>
    <w:rsid w:val="007C3DDD"/>
    <w:rsid w:val="007C5F1C"/>
    <w:rsid w:val="007C6BDE"/>
    <w:rsid w:val="007C7F96"/>
    <w:rsid w:val="007D1776"/>
    <w:rsid w:val="007D2ECB"/>
    <w:rsid w:val="007D3465"/>
    <w:rsid w:val="007D37E6"/>
    <w:rsid w:val="007D39E9"/>
    <w:rsid w:val="007D4691"/>
    <w:rsid w:val="007D47AA"/>
    <w:rsid w:val="007D4CAC"/>
    <w:rsid w:val="007D4F63"/>
    <w:rsid w:val="007D5E51"/>
    <w:rsid w:val="007D65E6"/>
    <w:rsid w:val="007D7447"/>
    <w:rsid w:val="007D79A2"/>
    <w:rsid w:val="007D7FCC"/>
    <w:rsid w:val="007E0DDA"/>
    <w:rsid w:val="007E167A"/>
    <w:rsid w:val="007E181B"/>
    <w:rsid w:val="007E1A8C"/>
    <w:rsid w:val="007E1E69"/>
    <w:rsid w:val="007E2987"/>
    <w:rsid w:val="007E38F0"/>
    <w:rsid w:val="007E4202"/>
    <w:rsid w:val="007E4AD2"/>
    <w:rsid w:val="007E544B"/>
    <w:rsid w:val="007E6869"/>
    <w:rsid w:val="007F110D"/>
    <w:rsid w:val="007F1573"/>
    <w:rsid w:val="007F18E7"/>
    <w:rsid w:val="007F26AF"/>
    <w:rsid w:val="007F27C4"/>
    <w:rsid w:val="007F327D"/>
    <w:rsid w:val="007F35B0"/>
    <w:rsid w:val="007F38F7"/>
    <w:rsid w:val="007F428C"/>
    <w:rsid w:val="007F477C"/>
    <w:rsid w:val="007F52A7"/>
    <w:rsid w:val="007F5BF2"/>
    <w:rsid w:val="007F5F35"/>
    <w:rsid w:val="007F6809"/>
    <w:rsid w:val="007F7AD7"/>
    <w:rsid w:val="007F7B5E"/>
    <w:rsid w:val="00800C8F"/>
    <w:rsid w:val="00801C32"/>
    <w:rsid w:val="00802AE3"/>
    <w:rsid w:val="00803CAC"/>
    <w:rsid w:val="00803D7C"/>
    <w:rsid w:val="0080409A"/>
    <w:rsid w:val="00805794"/>
    <w:rsid w:val="00805F14"/>
    <w:rsid w:val="008102A1"/>
    <w:rsid w:val="00810E5D"/>
    <w:rsid w:val="0081202E"/>
    <w:rsid w:val="00812065"/>
    <w:rsid w:val="00813751"/>
    <w:rsid w:val="00816132"/>
    <w:rsid w:val="008200A8"/>
    <w:rsid w:val="00820110"/>
    <w:rsid w:val="00822609"/>
    <w:rsid w:val="008247E0"/>
    <w:rsid w:val="00824D49"/>
    <w:rsid w:val="00826CFE"/>
    <w:rsid w:val="00830F70"/>
    <w:rsid w:val="00832107"/>
    <w:rsid w:val="0083365F"/>
    <w:rsid w:val="0083539B"/>
    <w:rsid w:val="008358BB"/>
    <w:rsid w:val="00836718"/>
    <w:rsid w:val="00836B71"/>
    <w:rsid w:val="00837847"/>
    <w:rsid w:val="008402FD"/>
    <w:rsid w:val="008411AA"/>
    <w:rsid w:val="00841654"/>
    <w:rsid w:val="008416C9"/>
    <w:rsid w:val="00842EE1"/>
    <w:rsid w:val="00844D6C"/>
    <w:rsid w:val="00844E59"/>
    <w:rsid w:val="008522CC"/>
    <w:rsid w:val="00852ECC"/>
    <w:rsid w:val="00854F83"/>
    <w:rsid w:val="00855377"/>
    <w:rsid w:val="00855CC8"/>
    <w:rsid w:val="00856FAD"/>
    <w:rsid w:val="00860EC8"/>
    <w:rsid w:val="00861A04"/>
    <w:rsid w:val="00862B33"/>
    <w:rsid w:val="00870E16"/>
    <w:rsid w:val="00870FAA"/>
    <w:rsid w:val="0087169A"/>
    <w:rsid w:val="008724C7"/>
    <w:rsid w:val="00874431"/>
    <w:rsid w:val="00874A21"/>
    <w:rsid w:val="00875E20"/>
    <w:rsid w:val="008761BE"/>
    <w:rsid w:val="0087682C"/>
    <w:rsid w:val="00876BE1"/>
    <w:rsid w:val="008775A0"/>
    <w:rsid w:val="00880A6E"/>
    <w:rsid w:val="00881172"/>
    <w:rsid w:val="008820D9"/>
    <w:rsid w:val="00883398"/>
    <w:rsid w:val="0088429E"/>
    <w:rsid w:val="008845AE"/>
    <w:rsid w:val="00884848"/>
    <w:rsid w:val="00884D7C"/>
    <w:rsid w:val="008854E2"/>
    <w:rsid w:val="0088718B"/>
    <w:rsid w:val="00887645"/>
    <w:rsid w:val="00887E98"/>
    <w:rsid w:val="00891007"/>
    <w:rsid w:val="0089174F"/>
    <w:rsid w:val="00891A52"/>
    <w:rsid w:val="00891B40"/>
    <w:rsid w:val="008925D6"/>
    <w:rsid w:val="00892C08"/>
    <w:rsid w:val="008951ED"/>
    <w:rsid w:val="0089649D"/>
    <w:rsid w:val="00897779"/>
    <w:rsid w:val="008A380E"/>
    <w:rsid w:val="008A3FD5"/>
    <w:rsid w:val="008A47E3"/>
    <w:rsid w:val="008A6430"/>
    <w:rsid w:val="008A74A7"/>
    <w:rsid w:val="008B14A6"/>
    <w:rsid w:val="008B1A0E"/>
    <w:rsid w:val="008B1FF6"/>
    <w:rsid w:val="008B2969"/>
    <w:rsid w:val="008B2A86"/>
    <w:rsid w:val="008B2C90"/>
    <w:rsid w:val="008B52A2"/>
    <w:rsid w:val="008B5F8F"/>
    <w:rsid w:val="008B68E1"/>
    <w:rsid w:val="008C2500"/>
    <w:rsid w:val="008C3E44"/>
    <w:rsid w:val="008C4087"/>
    <w:rsid w:val="008C47F4"/>
    <w:rsid w:val="008C4B2F"/>
    <w:rsid w:val="008C4C31"/>
    <w:rsid w:val="008C51DD"/>
    <w:rsid w:val="008C714F"/>
    <w:rsid w:val="008C746A"/>
    <w:rsid w:val="008D202B"/>
    <w:rsid w:val="008D3887"/>
    <w:rsid w:val="008D3C92"/>
    <w:rsid w:val="008D3D67"/>
    <w:rsid w:val="008D3E80"/>
    <w:rsid w:val="008D4AFA"/>
    <w:rsid w:val="008D502E"/>
    <w:rsid w:val="008D5DB1"/>
    <w:rsid w:val="008D6F83"/>
    <w:rsid w:val="008D75BA"/>
    <w:rsid w:val="008E0424"/>
    <w:rsid w:val="008E07F7"/>
    <w:rsid w:val="008E0FA7"/>
    <w:rsid w:val="008E12C7"/>
    <w:rsid w:val="008E168C"/>
    <w:rsid w:val="008E1EC0"/>
    <w:rsid w:val="008E2122"/>
    <w:rsid w:val="008E437F"/>
    <w:rsid w:val="008E4E47"/>
    <w:rsid w:val="008E58E8"/>
    <w:rsid w:val="008E5915"/>
    <w:rsid w:val="008E7943"/>
    <w:rsid w:val="008E7AE6"/>
    <w:rsid w:val="008F082E"/>
    <w:rsid w:val="008F0C73"/>
    <w:rsid w:val="008F3394"/>
    <w:rsid w:val="008F3CC9"/>
    <w:rsid w:val="008F50FC"/>
    <w:rsid w:val="008F5C1D"/>
    <w:rsid w:val="008F5CB5"/>
    <w:rsid w:val="008F6053"/>
    <w:rsid w:val="008F6B42"/>
    <w:rsid w:val="0090077E"/>
    <w:rsid w:val="0090175B"/>
    <w:rsid w:val="00901B1C"/>
    <w:rsid w:val="0090333D"/>
    <w:rsid w:val="00903818"/>
    <w:rsid w:val="00904BB1"/>
    <w:rsid w:val="009055DF"/>
    <w:rsid w:val="0090571C"/>
    <w:rsid w:val="009064BF"/>
    <w:rsid w:val="0091018C"/>
    <w:rsid w:val="009104A2"/>
    <w:rsid w:val="00910A98"/>
    <w:rsid w:val="00912802"/>
    <w:rsid w:val="00912891"/>
    <w:rsid w:val="00912ED3"/>
    <w:rsid w:val="009132A3"/>
    <w:rsid w:val="009138E0"/>
    <w:rsid w:val="009142C7"/>
    <w:rsid w:val="009143FD"/>
    <w:rsid w:val="00914F35"/>
    <w:rsid w:val="00916A30"/>
    <w:rsid w:val="00916A34"/>
    <w:rsid w:val="00916EE3"/>
    <w:rsid w:val="009223F2"/>
    <w:rsid w:val="00922B72"/>
    <w:rsid w:val="00925160"/>
    <w:rsid w:val="00925376"/>
    <w:rsid w:val="00926C2C"/>
    <w:rsid w:val="00926EAC"/>
    <w:rsid w:val="009279D4"/>
    <w:rsid w:val="009306C4"/>
    <w:rsid w:val="00932580"/>
    <w:rsid w:val="00933D0E"/>
    <w:rsid w:val="00933E8B"/>
    <w:rsid w:val="00934ACB"/>
    <w:rsid w:val="00940C46"/>
    <w:rsid w:val="009421F0"/>
    <w:rsid w:val="009427A0"/>
    <w:rsid w:val="00944D16"/>
    <w:rsid w:val="00947405"/>
    <w:rsid w:val="0094791D"/>
    <w:rsid w:val="00950814"/>
    <w:rsid w:val="0095173A"/>
    <w:rsid w:val="009539C3"/>
    <w:rsid w:val="00955FE0"/>
    <w:rsid w:val="00956377"/>
    <w:rsid w:val="00956B36"/>
    <w:rsid w:val="0096001C"/>
    <w:rsid w:val="00960589"/>
    <w:rsid w:val="00961066"/>
    <w:rsid w:val="00961225"/>
    <w:rsid w:val="00963091"/>
    <w:rsid w:val="00963153"/>
    <w:rsid w:val="00964682"/>
    <w:rsid w:val="009647A8"/>
    <w:rsid w:val="00964F2A"/>
    <w:rsid w:val="00966BA6"/>
    <w:rsid w:val="00967149"/>
    <w:rsid w:val="0097087C"/>
    <w:rsid w:val="009709E6"/>
    <w:rsid w:val="00970BC6"/>
    <w:rsid w:val="009729E0"/>
    <w:rsid w:val="009731A6"/>
    <w:rsid w:val="00973442"/>
    <w:rsid w:val="00973855"/>
    <w:rsid w:val="00976003"/>
    <w:rsid w:val="00976C0C"/>
    <w:rsid w:val="00976DBF"/>
    <w:rsid w:val="00980960"/>
    <w:rsid w:val="009814CF"/>
    <w:rsid w:val="0098185E"/>
    <w:rsid w:val="0098339C"/>
    <w:rsid w:val="00983638"/>
    <w:rsid w:val="0098369D"/>
    <w:rsid w:val="00983D70"/>
    <w:rsid w:val="0098408D"/>
    <w:rsid w:val="0098440F"/>
    <w:rsid w:val="00985430"/>
    <w:rsid w:val="00985BEE"/>
    <w:rsid w:val="00986361"/>
    <w:rsid w:val="00986947"/>
    <w:rsid w:val="00987BA7"/>
    <w:rsid w:val="00990FC0"/>
    <w:rsid w:val="009911CF"/>
    <w:rsid w:val="009915D7"/>
    <w:rsid w:val="009941EC"/>
    <w:rsid w:val="00994706"/>
    <w:rsid w:val="00994FFF"/>
    <w:rsid w:val="00995707"/>
    <w:rsid w:val="00995D98"/>
    <w:rsid w:val="0099685E"/>
    <w:rsid w:val="00997731"/>
    <w:rsid w:val="009A01FF"/>
    <w:rsid w:val="009A165D"/>
    <w:rsid w:val="009A5159"/>
    <w:rsid w:val="009A5752"/>
    <w:rsid w:val="009A748C"/>
    <w:rsid w:val="009A7A43"/>
    <w:rsid w:val="009B0535"/>
    <w:rsid w:val="009B0A90"/>
    <w:rsid w:val="009B1DB4"/>
    <w:rsid w:val="009B3A4C"/>
    <w:rsid w:val="009B41B6"/>
    <w:rsid w:val="009B4D0E"/>
    <w:rsid w:val="009B5568"/>
    <w:rsid w:val="009B5B02"/>
    <w:rsid w:val="009C0074"/>
    <w:rsid w:val="009C030D"/>
    <w:rsid w:val="009C27BD"/>
    <w:rsid w:val="009C2CC7"/>
    <w:rsid w:val="009C2E8E"/>
    <w:rsid w:val="009C4E71"/>
    <w:rsid w:val="009C5D24"/>
    <w:rsid w:val="009C72B9"/>
    <w:rsid w:val="009D01CB"/>
    <w:rsid w:val="009D020D"/>
    <w:rsid w:val="009D0649"/>
    <w:rsid w:val="009D0E99"/>
    <w:rsid w:val="009D1114"/>
    <w:rsid w:val="009D23BF"/>
    <w:rsid w:val="009D26C5"/>
    <w:rsid w:val="009D2FF8"/>
    <w:rsid w:val="009D407A"/>
    <w:rsid w:val="009D6657"/>
    <w:rsid w:val="009D6E64"/>
    <w:rsid w:val="009D78C8"/>
    <w:rsid w:val="009E017C"/>
    <w:rsid w:val="009E0B41"/>
    <w:rsid w:val="009E193E"/>
    <w:rsid w:val="009E2088"/>
    <w:rsid w:val="009E2B6C"/>
    <w:rsid w:val="009E4357"/>
    <w:rsid w:val="009E4563"/>
    <w:rsid w:val="009E688A"/>
    <w:rsid w:val="009E7318"/>
    <w:rsid w:val="009E73E8"/>
    <w:rsid w:val="009E795D"/>
    <w:rsid w:val="009F1081"/>
    <w:rsid w:val="009F26A0"/>
    <w:rsid w:val="009F40CA"/>
    <w:rsid w:val="009F56B0"/>
    <w:rsid w:val="009F6262"/>
    <w:rsid w:val="009F6B4E"/>
    <w:rsid w:val="009F7109"/>
    <w:rsid w:val="009F74BC"/>
    <w:rsid w:val="00A00603"/>
    <w:rsid w:val="00A00D0D"/>
    <w:rsid w:val="00A01AC3"/>
    <w:rsid w:val="00A020F0"/>
    <w:rsid w:val="00A0356D"/>
    <w:rsid w:val="00A03DE8"/>
    <w:rsid w:val="00A047D1"/>
    <w:rsid w:val="00A0552F"/>
    <w:rsid w:val="00A07CC5"/>
    <w:rsid w:val="00A10217"/>
    <w:rsid w:val="00A1057B"/>
    <w:rsid w:val="00A10E9C"/>
    <w:rsid w:val="00A127B8"/>
    <w:rsid w:val="00A13902"/>
    <w:rsid w:val="00A13964"/>
    <w:rsid w:val="00A15596"/>
    <w:rsid w:val="00A20156"/>
    <w:rsid w:val="00A214ED"/>
    <w:rsid w:val="00A217E1"/>
    <w:rsid w:val="00A22FA6"/>
    <w:rsid w:val="00A235CE"/>
    <w:rsid w:val="00A2483B"/>
    <w:rsid w:val="00A24BFF"/>
    <w:rsid w:val="00A26D63"/>
    <w:rsid w:val="00A31873"/>
    <w:rsid w:val="00A320AF"/>
    <w:rsid w:val="00A36BB1"/>
    <w:rsid w:val="00A36DF3"/>
    <w:rsid w:val="00A36F9B"/>
    <w:rsid w:val="00A371D4"/>
    <w:rsid w:val="00A3768A"/>
    <w:rsid w:val="00A40FF0"/>
    <w:rsid w:val="00A427EC"/>
    <w:rsid w:val="00A4324F"/>
    <w:rsid w:val="00A440C3"/>
    <w:rsid w:val="00A46594"/>
    <w:rsid w:val="00A470C9"/>
    <w:rsid w:val="00A471B6"/>
    <w:rsid w:val="00A520D5"/>
    <w:rsid w:val="00A52560"/>
    <w:rsid w:val="00A527E4"/>
    <w:rsid w:val="00A53766"/>
    <w:rsid w:val="00A54D47"/>
    <w:rsid w:val="00A55EF0"/>
    <w:rsid w:val="00A57437"/>
    <w:rsid w:val="00A6015B"/>
    <w:rsid w:val="00A604A9"/>
    <w:rsid w:val="00A60B57"/>
    <w:rsid w:val="00A617C9"/>
    <w:rsid w:val="00A621D6"/>
    <w:rsid w:val="00A62B55"/>
    <w:rsid w:val="00A64366"/>
    <w:rsid w:val="00A65A88"/>
    <w:rsid w:val="00A66359"/>
    <w:rsid w:val="00A668A6"/>
    <w:rsid w:val="00A67D20"/>
    <w:rsid w:val="00A70948"/>
    <w:rsid w:val="00A70B0B"/>
    <w:rsid w:val="00A7220F"/>
    <w:rsid w:val="00A72867"/>
    <w:rsid w:val="00A73139"/>
    <w:rsid w:val="00A73BC6"/>
    <w:rsid w:val="00A74EC7"/>
    <w:rsid w:val="00A75E62"/>
    <w:rsid w:val="00A77EA9"/>
    <w:rsid w:val="00A811D4"/>
    <w:rsid w:val="00A81EBF"/>
    <w:rsid w:val="00A82860"/>
    <w:rsid w:val="00A86974"/>
    <w:rsid w:val="00A87222"/>
    <w:rsid w:val="00A91951"/>
    <w:rsid w:val="00A926B1"/>
    <w:rsid w:val="00A93E41"/>
    <w:rsid w:val="00A953A3"/>
    <w:rsid w:val="00A9609B"/>
    <w:rsid w:val="00A974B1"/>
    <w:rsid w:val="00A9787E"/>
    <w:rsid w:val="00AA1081"/>
    <w:rsid w:val="00AA1406"/>
    <w:rsid w:val="00AA15FE"/>
    <w:rsid w:val="00AA17B3"/>
    <w:rsid w:val="00AA1CC4"/>
    <w:rsid w:val="00AA2D40"/>
    <w:rsid w:val="00AA3249"/>
    <w:rsid w:val="00AA3E72"/>
    <w:rsid w:val="00AA47AE"/>
    <w:rsid w:val="00AA513F"/>
    <w:rsid w:val="00AA6946"/>
    <w:rsid w:val="00AA7AA1"/>
    <w:rsid w:val="00AA7EBE"/>
    <w:rsid w:val="00AB1882"/>
    <w:rsid w:val="00AB4661"/>
    <w:rsid w:val="00AB51F8"/>
    <w:rsid w:val="00AB77F5"/>
    <w:rsid w:val="00AC0427"/>
    <w:rsid w:val="00AC151A"/>
    <w:rsid w:val="00AC43C9"/>
    <w:rsid w:val="00AC449D"/>
    <w:rsid w:val="00AC48E2"/>
    <w:rsid w:val="00AC530D"/>
    <w:rsid w:val="00AC5BD1"/>
    <w:rsid w:val="00AC645B"/>
    <w:rsid w:val="00AC64A1"/>
    <w:rsid w:val="00AC69EC"/>
    <w:rsid w:val="00AC7AA5"/>
    <w:rsid w:val="00AD02C9"/>
    <w:rsid w:val="00AD0470"/>
    <w:rsid w:val="00AD143F"/>
    <w:rsid w:val="00AD1FE2"/>
    <w:rsid w:val="00AD2690"/>
    <w:rsid w:val="00AD2923"/>
    <w:rsid w:val="00AD3074"/>
    <w:rsid w:val="00AD449F"/>
    <w:rsid w:val="00AD55BB"/>
    <w:rsid w:val="00AD584D"/>
    <w:rsid w:val="00AD5B26"/>
    <w:rsid w:val="00AD61DF"/>
    <w:rsid w:val="00AD6A25"/>
    <w:rsid w:val="00AD7A42"/>
    <w:rsid w:val="00AE0A9C"/>
    <w:rsid w:val="00AE0BFE"/>
    <w:rsid w:val="00AE1A49"/>
    <w:rsid w:val="00AE1AE9"/>
    <w:rsid w:val="00AE3260"/>
    <w:rsid w:val="00AE3BC1"/>
    <w:rsid w:val="00AE44CF"/>
    <w:rsid w:val="00AE4D9A"/>
    <w:rsid w:val="00AE4DCC"/>
    <w:rsid w:val="00AE585B"/>
    <w:rsid w:val="00AF172B"/>
    <w:rsid w:val="00AF1DC8"/>
    <w:rsid w:val="00AF238D"/>
    <w:rsid w:val="00AF2637"/>
    <w:rsid w:val="00AF398F"/>
    <w:rsid w:val="00AF39CD"/>
    <w:rsid w:val="00AF60BA"/>
    <w:rsid w:val="00AF694B"/>
    <w:rsid w:val="00AF6CBC"/>
    <w:rsid w:val="00AF6DF1"/>
    <w:rsid w:val="00B00138"/>
    <w:rsid w:val="00B0018D"/>
    <w:rsid w:val="00B00228"/>
    <w:rsid w:val="00B0102E"/>
    <w:rsid w:val="00B01ABC"/>
    <w:rsid w:val="00B01B15"/>
    <w:rsid w:val="00B01D29"/>
    <w:rsid w:val="00B020BE"/>
    <w:rsid w:val="00B04E8A"/>
    <w:rsid w:val="00B05134"/>
    <w:rsid w:val="00B05233"/>
    <w:rsid w:val="00B0528D"/>
    <w:rsid w:val="00B071CE"/>
    <w:rsid w:val="00B107B6"/>
    <w:rsid w:val="00B133EB"/>
    <w:rsid w:val="00B14003"/>
    <w:rsid w:val="00B148B1"/>
    <w:rsid w:val="00B14F71"/>
    <w:rsid w:val="00B16234"/>
    <w:rsid w:val="00B16D03"/>
    <w:rsid w:val="00B16E66"/>
    <w:rsid w:val="00B1729C"/>
    <w:rsid w:val="00B17435"/>
    <w:rsid w:val="00B214B6"/>
    <w:rsid w:val="00B21661"/>
    <w:rsid w:val="00B21B12"/>
    <w:rsid w:val="00B222DC"/>
    <w:rsid w:val="00B22BB9"/>
    <w:rsid w:val="00B24B5A"/>
    <w:rsid w:val="00B24D49"/>
    <w:rsid w:val="00B2552D"/>
    <w:rsid w:val="00B26235"/>
    <w:rsid w:val="00B263B2"/>
    <w:rsid w:val="00B267B5"/>
    <w:rsid w:val="00B309CD"/>
    <w:rsid w:val="00B33B05"/>
    <w:rsid w:val="00B33E8C"/>
    <w:rsid w:val="00B34CDB"/>
    <w:rsid w:val="00B35EF0"/>
    <w:rsid w:val="00B3656C"/>
    <w:rsid w:val="00B371BF"/>
    <w:rsid w:val="00B40775"/>
    <w:rsid w:val="00B41C41"/>
    <w:rsid w:val="00B43077"/>
    <w:rsid w:val="00B43409"/>
    <w:rsid w:val="00B43A1E"/>
    <w:rsid w:val="00B43C33"/>
    <w:rsid w:val="00B43E58"/>
    <w:rsid w:val="00B4442C"/>
    <w:rsid w:val="00B449D1"/>
    <w:rsid w:val="00B4570F"/>
    <w:rsid w:val="00B47C22"/>
    <w:rsid w:val="00B5028B"/>
    <w:rsid w:val="00B51C8B"/>
    <w:rsid w:val="00B54779"/>
    <w:rsid w:val="00B55602"/>
    <w:rsid w:val="00B56237"/>
    <w:rsid w:val="00B566A1"/>
    <w:rsid w:val="00B608A2"/>
    <w:rsid w:val="00B61D5E"/>
    <w:rsid w:val="00B61FF7"/>
    <w:rsid w:val="00B6241C"/>
    <w:rsid w:val="00B62E05"/>
    <w:rsid w:val="00B632ED"/>
    <w:rsid w:val="00B6352A"/>
    <w:rsid w:val="00B647F3"/>
    <w:rsid w:val="00B64AC1"/>
    <w:rsid w:val="00B65F33"/>
    <w:rsid w:val="00B66AD3"/>
    <w:rsid w:val="00B66D78"/>
    <w:rsid w:val="00B67E3A"/>
    <w:rsid w:val="00B712F6"/>
    <w:rsid w:val="00B71AD7"/>
    <w:rsid w:val="00B7318A"/>
    <w:rsid w:val="00B758F9"/>
    <w:rsid w:val="00B7638D"/>
    <w:rsid w:val="00B77010"/>
    <w:rsid w:val="00B804F8"/>
    <w:rsid w:val="00B816BA"/>
    <w:rsid w:val="00B81E15"/>
    <w:rsid w:val="00B8268D"/>
    <w:rsid w:val="00B82A25"/>
    <w:rsid w:val="00B8410E"/>
    <w:rsid w:val="00B8454F"/>
    <w:rsid w:val="00B85E75"/>
    <w:rsid w:val="00B8632C"/>
    <w:rsid w:val="00B87CD9"/>
    <w:rsid w:val="00B87F98"/>
    <w:rsid w:val="00B90367"/>
    <w:rsid w:val="00B90641"/>
    <w:rsid w:val="00B9072A"/>
    <w:rsid w:val="00B9160D"/>
    <w:rsid w:val="00B91770"/>
    <w:rsid w:val="00B91C06"/>
    <w:rsid w:val="00B927CE"/>
    <w:rsid w:val="00B92AB0"/>
    <w:rsid w:val="00B957AA"/>
    <w:rsid w:val="00B96051"/>
    <w:rsid w:val="00B96699"/>
    <w:rsid w:val="00B970C7"/>
    <w:rsid w:val="00B971F5"/>
    <w:rsid w:val="00B975E7"/>
    <w:rsid w:val="00B97DED"/>
    <w:rsid w:val="00BA1280"/>
    <w:rsid w:val="00BA1F84"/>
    <w:rsid w:val="00BA57D8"/>
    <w:rsid w:val="00BA6C8A"/>
    <w:rsid w:val="00BA79C5"/>
    <w:rsid w:val="00BA7EBA"/>
    <w:rsid w:val="00BA7EF8"/>
    <w:rsid w:val="00BB168B"/>
    <w:rsid w:val="00BB584E"/>
    <w:rsid w:val="00BB5EB8"/>
    <w:rsid w:val="00BC016C"/>
    <w:rsid w:val="00BC0425"/>
    <w:rsid w:val="00BC0EC0"/>
    <w:rsid w:val="00BC1802"/>
    <w:rsid w:val="00BC1D74"/>
    <w:rsid w:val="00BC2A1E"/>
    <w:rsid w:val="00BC5132"/>
    <w:rsid w:val="00BC5351"/>
    <w:rsid w:val="00BC5589"/>
    <w:rsid w:val="00BC65A4"/>
    <w:rsid w:val="00BD0711"/>
    <w:rsid w:val="00BD2B24"/>
    <w:rsid w:val="00BD2D6B"/>
    <w:rsid w:val="00BD42A9"/>
    <w:rsid w:val="00BD572A"/>
    <w:rsid w:val="00BD5811"/>
    <w:rsid w:val="00BD6672"/>
    <w:rsid w:val="00BD66DA"/>
    <w:rsid w:val="00BD76D7"/>
    <w:rsid w:val="00BE1288"/>
    <w:rsid w:val="00BE1644"/>
    <w:rsid w:val="00BE1EBC"/>
    <w:rsid w:val="00BE51DB"/>
    <w:rsid w:val="00BE6040"/>
    <w:rsid w:val="00BE6879"/>
    <w:rsid w:val="00BF0CB3"/>
    <w:rsid w:val="00BF1FC4"/>
    <w:rsid w:val="00BF2C2F"/>
    <w:rsid w:val="00BF3C2C"/>
    <w:rsid w:val="00BF3CCA"/>
    <w:rsid w:val="00BF6400"/>
    <w:rsid w:val="00BF7CC3"/>
    <w:rsid w:val="00C0410F"/>
    <w:rsid w:val="00C04727"/>
    <w:rsid w:val="00C0497B"/>
    <w:rsid w:val="00C057B7"/>
    <w:rsid w:val="00C100C7"/>
    <w:rsid w:val="00C111F3"/>
    <w:rsid w:val="00C1162C"/>
    <w:rsid w:val="00C118F3"/>
    <w:rsid w:val="00C12C29"/>
    <w:rsid w:val="00C13F0C"/>
    <w:rsid w:val="00C14266"/>
    <w:rsid w:val="00C159A3"/>
    <w:rsid w:val="00C15F3C"/>
    <w:rsid w:val="00C161E6"/>
    <w:rsid w:val="00C1721A"/>
    <w:rsid w:val="00C20007"/>
    <w:rsid w:val="00C21299"/>
    <w:rsid w:val="00C21E62"/>
    <w:rsid w:val="00C2310B"/>
    <w:rsid w:val="00C24585"/>
    <w:rsid w:val="00C24A45"/>
    <w:rsid w:val="00C25055"/>
    <w:rsid w:val="00C30271"/>
    <w:rsid w:val="00C307F0"/>
    <w:rsid w:val="00C31302"/>
    <w:rsid w:val="00C3182F"/>
    <w:rsid w:val="00C320C9"/>
    <w:rsid w:val="00C32388"/>
    <w:rsid w:val="00C3238A"/>
    <w:rsid w:val="00C33678"/>
    <w:rsid w:val="00C34395"/>
    <w:rsid w:val="00C34972"/>
    <w:rsid w:val="00C350C0"/>
    <w:rsid w:val="00C353A1"/>
    <w:rsid w:val="00C35B8E"/>
    <w:rsid w:val="00C40068"/>
    <w:rsid w:val="00C40F7D"/>
    <w:rsid w:val="00C420A5"/>
    <w:rsid w:val="00C43CC5"/>
    <w:rsid w:val="00C44188"/>
    <w:rsid w:val="00C44D32"/>
    <w:rsid w:val="00C46410"/>
    <w:rsid w:val="00C4753F"/>
    <w:rsid w:val="00C47785"/>
    <w:rsid w:val="00C479EC"/>
    <w:rsid w:val="00C5057D"/>
    <w:rsid w:val="00C51F6D"/>
    <w:rsid w:val="00C543E6"/>
    <w:rsid w:val="00C54B79"/>
    <w:rsid w:val="00C54C4B"/>
    <w:rsid w:val="00C55070"/>
    <w:rsid w:val="00C562F8"/>
    <w:rsid w:val="00C5630F"/>
    <w:rsid w:val="00C5648A"/>
    <w:rsid w:val="00C60237"/>
    <w:rsid w:val="00C6119D"/>
    <w:rsid w:val="00C614E5"/>
    <w:rsid w:val="00C61C40"/>
    <w:rsid w:val="00C61F30"/>
    <w:rsid w:val="00C63045"/>
    <w:rsid w:val="00C665FC"/>
    <w:rsid w:val="00C7203B"/>
    <w:rsid w:val="00C722E4"/>
    <w:rsid w:val="00C72F4A"/>
    <w:rsid w:val="00C72F96"/>
    <w:rsid w:val="00C745E6"/>
    <w:rsid w:val="00C8024F"/>
    <w:rsid w:val="00C80C21"/>
    <w:rsid w:val="00C81568"/>
    <w:rsid w:val="00C8298D"/>
    <w:rsid w:val="00C8318A"/>
    <w:rsid w:val="00C83963"/>
    <w:rsid w:val="00C8473C"/>
    <w:rsid w:val="00C85BFB"/>
    <w:rsid w:val="00C91B67"/>
    <w:rsid w:val="00C91F63"/>
    <w:rsid w:val="00C92B06"/>
    <w:rsid w:val="00C92DDE"/>
    <w:rsid w:val="00C93B98"/>
    <w:rsid w:val="00C94440"/>
    <w:rsid w:val="00C95A86"/>
    <w:rsid w:val="00C95BE0"/>
    <w:rsid w:val="00C96981"/>
    <w:rsid w:val="00C97EFB"/>
    <w:rsid w:val="00CA0EB5"/>
    <w:rsid w:val="00CA1C71"/>
    <w:rsid w:val="00CA1FFA"/>
    <w:rsid w:val="00CA20C7"/>
    <w:rsid w:val="00CA320B"/>
    <w:rsid w:val="00CA4282"/>
    <w:rsid w:val="00CA539C"/>
    <w:rsid w:val="00CA541A"/>
    <w:rsid w:val="00CA5530"/>
    <w:rsid w:val="00CA7410"/>
    <w:rsid w:val="00CA7A3C"/>
    <w:rsid w:val="00CB10A6"/>
    <w:rsid w:val="00CB33B7"/>
    <w:rsid w:val="00CB34F3"/>
    <w:rsid w:val="00CB582B"/>
    <w:rsid w:val="00CB5EF9"/>
    <w:rsid w:val="00CC0E08"/>
    <w:rsid w:val="00CC18E3"/>
    <w:rsid w:val="00CC20F2"/>
    <w:rsid w:val="00CC218F"/>
    <w:rsid w:val="00CC2281"/>
    <w:rsid w:val="00CC2464"/>
    <w:rsid w:val="00CC281B"/>
    <w:rsid w:val="00CC2883"/>
    <w:rsid w:val="00CC4A11"/>
    <w:rsid w:val="00CC6943"/>
    <w:rsid w:val="00CC79D1"/>
    <w:rsid w:val="00CD060B"/>
    <w:rsid w:val="00CD13BC"/>
    <w:rsid w:val="00CD2AB5"/>
    <w:rsid w:val="00CD398F"/>
    <w:rsid w:val="00CD3C53"/>
    <w:rsid w:val="00CD52E2"/>
    <w:rsid w:val="00CD6A9D"/>
    <w:rsid w:val="00CE0650"/>
    <w:rsid w:val="00CE137E"/>
    <w:rsid w:val="00CE1E6C"/>
    <w:rsid w:val="00CE4099"/>
    <w:rsid w:val="00CE4202"/>
    <w:rsid w:val="00CE50E3"/>
    <w:rsid w:val="00CE653A"/>
    <w:rsid w:val="00CF0B3D"/>
    <w:rsid w:val="00CF10EF"/>
    <w:rsid w:val="00CF12DE"/>
    <w:rsid w:val="00CF3177"/>
    <w:rsid w:val="00CF4219"/>
    <w:rsid w:val="00CF4DF9"/>
    <w:rsid w:val="00CF5E00"/>
    <w:rsid w:val="00CF6FDD"/>
    <w:rsid w:val="00CF7243"/>
    <w:rsid w:val="00D000BA"/>
    <w:rsid w:val="00D00D9E"/>
    <w:rsid w:val="00D0145D"/>
    <w:rsid w:val="00D03A7A"/>
    <w:rsid w:val="00D0623E"/>
    <w:rsid w:val="00D06AF1"/>
    <w:rsid w:val="00D06CEB"/>
    <w:rsid w:val="00D102E5"/>
    <w:rsid w:val="00D10B1F"/>
    <w:rsid w:val="00D10BBF"/>
    <w:rsid w:val="00D13682"/>
    <w:rsid w:val="00D13D10"/>
    <w:rsid w:val="00D13E8F"/>
    <w:rsid w:val="00D1418B"/>
    <w:rsid w:val="00D15707"/>
    <w:rsid w:val="00D165AB"/>
    <w:rsid w:val="00D2053F"/>
    <w:rsid w:val="00D2605F"/>
    <w:rsid w:val="00D271C2"/>
    <w:rsid w:val="00D30E77"/>
    <w:rsid w:val="00D312D3"/>
    <w:rsid w:val="00D323F4"/>
    <w:rsid w:val="00D3321C"/>
    <w:rsid w:val="00D348C1"/>
    <w:rsid w:val="00D37B59"/>
    <w:rsid w:val="00D4329A"/>
    <w:rsid w:val="00D45EF1"/>
    <w:rsid w:val="00D46002"/>
    <w:rsid w:val="00D46F00"/>
    <w:rsid w:val="00D509D3"/>
    <w:rsid w:val="00D509F4"/>
    <w:rsid w:val="00D531DE"/>
    <w:rsid w:val="00D537EF"/>
    <w:rsid w:val="00D5411B"/>
    <w:rsid w:val="00D54B49"/>
    <w:rsid w:val="00D54C7B"/>
    <w:rsid w:val="00D569F5"/>
    <w:rsid w:val="00D573C0"/>
    <w:rsid w:val="00D60C67"/>
    <w:rsid w:val="00D60D60"/>
    <w:rsid w:val="00D6144E"/>
    <w:rsid w:val="00D620A2"/>
    <w:rsid w:val="00D626AC"/>
    <w:rsid w:val="00D6521B"/>
    <w:rsid w:val="00D66659"/>
    <w:rsid w:val="00D67A86"/>
    <w:rsid w:val="00D70F4A"/>
    <w:rsid w:val="00D7130E"/>
    <w:rsid w:val="00D7313D"/>
    <w:rsid w:val="00D74230"/>
    <w:rsid w:val="00D74AB1"/>
    <w:rsid w:val="00D76220"/>
    <w:rsid w:val="00D76ED0"/>
    <w:rsid w:val="00D77CA2"/>
    <w:rsid w:val="00D77D43"/>
    <w:rsid w:val="00D81BB7"/>
    <w:rsid w:val="00D83298"/>
    <w:rsid w:val="00D83388"/>
    <w:rsid w:val="00D835C5"/>
    <w:rsid w:val="00D83E37"/>
    <w:rsid w:val="00D87D02"/>
    <w:rsid w:val="00D9101D"/>
    <w:rsid w:val="00D91B22"/>
    <w:rsid w:val="00D91B68"/>
    <w:rsid w:val="00D9204D"/>
    <w:rsid w:val="00D92B48"/>
    <w:rsid w:val="00D95AC2"/>
    <w:rsid w:val="00D9785B"/>
    <w:rsid w:val="00DA0C5E"/>
    <w:rsid w:val="00DA2B52"/>
    <w:rsid w:val="00DA329C"/>
    <w:rsid w:val="00DA3557"/>
    <w:rsid w:val="00DA621F"/>
    <w:rsid w:val="00DB0389"/>
    <w:rsid w:val="00DB2C3C"/>
    <w:rsid w:val="00DB32E6"/>
    <w:rsid w:val="00DB3DBE"/>
    <w:rsid w:val="00DB4D35"/>
    <w:rsid w:val="00DB64B8"/>
    <w:rsid w:val="00DB69AA"/>
    <w:rsid w:val="00DB6B6B"/>
    <w:rsid w:val="00DC0814"/>
    <w:rsid w:val="00DC0F88"/>
    <w:rsid w:val="00DC13FD"/>
    <w:rsid w:val="00DC1DFF"/>
    <w:rsid w:val="00DC2049"/>
    <w:rsid w:val="00DC3896"/>
    <w:rsid w:val="00DC38AB"/>
    <w:rsid w:val="00DC6206"/>
    <w:rsid w:val="00DC68A5"/>
    <w:rsid w:val="00DC7287"/>
    <w:rsid w:val="00DC7655"/>
    <w:rsid w:val="00DD267D"/>
    <w:rsid w:val="00DD32BD"/>
    <w:rsid w:val="00DD33B2"/>
    <w:rsid w:val="00DD35BC"/>
    <w:rsid w:val="00DD4DDC"/>
    <w:rsid w:val="00DD786B"/>
    <w:rsid w:val="00DD7B70"/>
    <w:rsid w:val="00DE036E"/>
    <w:rsid w:val="00DE1BE3"/>
    <w:rsid w:val="00DE1FFF"/>
    <w:rsid w:val="00DE2E8B"/>
    <w:rsid w:val="00DE33F9"/>
    <w:rsid w:val="00DE3C72"/>
    <w:rsid w:val="00DE5010"/>
    <w:rsid w:val="00DE58DC"/>
    <w:rsid w:val="00DE5992"/>
    <w:rsid w:val="00DE6243"/>
    <w:rsid w:val="00DE66E0"/>
    <w:rsid w:val="00DE706C"/>
    <w:rsid w:val="00DE7AFE"/>
    <w:rsid w:val="00DE7B3E"/>
    <w:rsid w:val="00DF18F7"/>
    <w:rsid w:val="00DF244B"/>
    <w:rsid w:val="00DF2608"/>
    <w:rsid w:val="00DF285B"/>
    <w:rsid w:val="00DF3575"/>
    <w:rsid w:val="00DF507E"/>
    <w:rsid w:val="00DF577F"/>
    <w:rsid w:val="00DF6125"/>
    <w:rsid w:val="00DF6706"/>
    <w:rsid w:val="00DF6E28"/>
    <w:rsid w:val="00E01310"/>
    <w:rsid w:val="00E013A2"/>
    <w:rsid w:val="00E01A04"/>
    <w:rsid w:val="00E01F00"/>
    <w:rsid w:val="00E02037"/>
    <w:rsid w:val="00E02E24"/>
    <w:rsid w:val="00E03117"/>
    <w:rsid w:val="00E034F5"/>
    <w:rsid w:val="00E0455A"/>
    <w:rsid w:val="00E050E8"/>
    <w:rsid w:val="00E05781"/>
    <w:rsid w:val="00E0776A"/>
    <w:rsid w:val="00E1050C"/>
    <w:rsid w:val="00E11276"/>
    <w:rsid w:val="00E122D3"/>
    <w:rsid w:val="00E124EF"/>
    <w:rsid w:val="00E12D95"/>
    <w:rsid w:val="00E14A60"/>
    <w:rsid w:val="00E15104"/>
    <w:rsid w:val="00E158D1"/>
    <w:rsid w:val="00E15A3F"/>
    <w:rsid w:val="00E16461"/>
    <w:rsid w:val="00E20873"/>
    <w:rsid w:val="00E240C8"/>
    <w:rsid w:val="00E24D07"/>
    <w:rsid w:val="00E25011"/>
    <w:rsid w:val="00E3112D"/>
    <w:rsid w:val="00E3232C"/>
    <w:rsid w:val="00E34037"/>
    <w:rsid w:val="00E34209"/>
    <w:rsid w:val="00E345AA"/>
    <w:rsid w:val="00E350B4"/>
    <w:rsid w:val="00E352FE"/>
    <w:rsid w:val="00E35EE6"/>
    <w:rsid w:val="00E42154"/>
    <w:rsid w:val="00E42AAF"/>
    <w:rsid w:val="00E42D8E"/>
    <w:rsid w:val="00E43137"/>
    <w:rsid w:val="00E43C1E"/>
    <w:rsid w:val="00E4422A"/>
    <w:rsid w:val="00E44FDA"/>
    <w:rsid w:val="00E45409"/>
    <w:rsid w:val="00E45425"/>
    <w:rsid w:val="00E45D19"/>
    <w:rsid w:val="00E5037C"/>
    <w:rsid w:val="00E52894"/>
    <w:rsid w:val="00E53249"/>
    <w:rsid w:val="00E5343C"/>
    <w:rsid w:val="00E5428F"/>
    <w:rsid w:val="00E54434"/>
    <w:rsid w:val="00E56542"/>
    <w:rsid w:val="00E57918"/>
    <w:rsid w:val="00E604C2"/>
    <w:rsid w:val="00E60EEE"/>
    <w:rsid w:val="00E62960"/>
    <w:rsid w:val="00E63494"/>
    <w:rsid w:val="00E63BCC"/>
    <w:rsid w:val="00E63C93"/>
    <w:rsid w:val="00E66F11"/>
    <w:rsid w:val="00E67B9B"/>
    <w:rsid w:val="00E67E39"/>
    <w:rsid w:val="00E73037"/>
    <w:rsid w:val="00E732C1"/>
    <w:rsid w:val="00E7355F"/>
    <w:rsid w:val="00E73A1E"/>
    <w:rsid w:val="00E7413B"/>
    <w:rsid w:val="00E75CE7"/>
    <w:rsid w:val="00E75E98"/>
    <w:rsid w:val="00E77EA8"/>
    <w:rsid w:val="00E8001A"/>
    <w:rsid w:val="00E80487"/>
    <w:rsid w:val="00E80B5B"/>
    <w:rsid w:val="00E81383"/>
    <w:rsid w:val="00E81666"/>
    <w:rsid w:val="00E81AFD"/>
    <w:rsid w:val="00E82D8D"/>
    <w:rsid w:val="00E85C2A"/>
    <w:rsid w:val="00E85F65"/>
    <w:rsid w:val="00E86212"/>
    <w:rsid w:val="00E8680D"/>
    <w:rsid w:val="00E86CA9"/>
    <w:rsid w:val="00E918B7"/>
    <w:rsid w:val="00E94260"/>
    <w:rsid w:val="00E94437"/>
    <w:rsid w:val="00E94719"/>
    <w:rsid w:val="00E952CF"/>
    <w:rsid w:val="00E958B1"/>
    <w:rsid w:val="00E95E34"/>
    <w:rsid w:val="00E96558"/>
    <w:rsid w:val="00EA0762"/>
    <w:rsid w:val="00EA1A35"/>
    <w:rsid w:val="00EA2751"/>
    <w:rsid w:val="00EA33BD"/>
    <w:rsid w:val="00EA3ABC"/>
    <w:rsid w:val="00EA4B6E"/>
    <w:rsid w:val="00EA4CA0"/>
    <w:rsid w:val="00EA5944"/>
    <w:rsid w:val="00EA7325"/>
    <w:rsid w:val="00EA7BD1"/>
    <w:rsid w:val="00EB168A"/>
    <w:rsid w:val="00EB453C"/>
    <w:rsid w:val="00EB5320"/>
    <w:rsid w:val="00EB67B3"/>
    <w:rsid w:val="00EB6F29"/>
    <w:rsid w:val="00EB6F7F"/>
    <w:rsid w:val="00EB7FA4"/>
    <w:rsid w:val="00EC0021"/>
    <w:rsid w:val="00EC1B86"/>
    <w:rsid w:val="00EC2535"/>
    <w:rsid w:val="00EC2733"/>
    <w:rsid w:val="00EC4CDF"/>
    <w:rsid w:val="00EC50A1"/>
    <w:rsid w:val="00EC52DD"/>
    <w:rsid w:val="00EC73EC"/>
    <w:rsid w:val="00ED0544"/>
    <w:rsid w:val="00ED0833"/>
    <w:rsid w:val="00ED0DFD"/>
    <w:rsid w:val="00ED1033"/>
    <w:rsid w:val="00ED2A84"/>
    <w:rsid w:val="00ED33A6"/>
    <w:rsid w:val="00ED61E5"/>
    <w:rsid w:val="00ED6A07"/>
    <w:rsid w:val="00ED6E94"/>
    <w:rsid w:val="00ED6F5E"/>
    <w:rsid w:val="00ED74EF"/>
    <w:rsid w:val="00EE0A7F"/>
    <w:rsid w:val="00EE0EB5"/>
    <w:rsid w:val="00EE13B0"/>
    <w:rsid w:val="00EE16F8"/>
    <w:rsid w:val="00EE1BE9"/>
    <w:rsid w:val="00EE2683"/>
    <w:rsid w:val="00EE3A58"/>
    <w:rsid w:val="00EE3F13"/>
    <w:rsid w:val="00EE531C"/>
    <w:rsid w:val="00EE5423"/>
    <w:rsid w:val="00EE6C0C"/>
    <w:rsid w:val="00EE72F8"/>
    <w:rsid w:val="00EF208D"/>
    <w:rsid w:val="00EF2B84"/>
    <w:rsid w:val="00EF401C"/>
    <w:rsid w:val="00EF4526"/>
    <w:rsid w:val="00EF7782"/>
    <w:rsid w:val="00EF77F3"/>
    <w:rsid w:val="00F000B1"/>
    <w:rsid w:val="00F004DB"/>
    <w:rsid w:val="00F004FC"/>
    <w:rsid w:val="00F01C8E"/>
    <w:rsid w:val="00F02D7F"/>
    <w:rsid w:val="00F03008"/>
    <w:rsid w:val="00F0390E"/>
    <w:rsid w:val="00F048A9"/>
    <w:rsid w:val="00F04CA9"/>
    <w:rsid w:val="00F0625E"/>
    <w:rsid w:val="00F07A08"/>
    <w:rsid w:val="00F1226F"/>
    <w:rsid w:val="00F12C0E"/>
    <w:rsid w:val="00F1345C"/>
    <w:rsid w:val="00F13B1A"/>
    <w:rsid w:val="00F17966"/>
    <w:rsid w:val="00F200E1"/>
    <w:rsid w:val="00F208A5"/>
    <w:rsid w:val="00F23476"/>
    <w:rsid w:val="00F23D31"/>
    <w:rsid w:val="00F24131"/>
    <w:rsid w:val="00F2530E"/>
    <w:rsid w:val="00F26A1C"/>
    <w:rsid w:val="00F26E2C"/>
    <w:rsid w:val="00F30D77"/>
    <w:rsid w:val="00F31F32"/>
    <w:rsid w:val="00F32329"/>
    <w:rsid w:val="00F3276E"/>
    <w:rsid w:val="00F32A84"/>
    <w:rsid w:val="00F3305A"/>
    <w:rsid w:val="00F33386"/>
    <w:rsid w:val="00F3419D"/>
    <w:rsid w:val="00F35D59"/>
    <w:rsid w:val="00F35FA6"/>
    <w:rsid w:val="00F377B9"/>
    <w:rsid w:val="00F41BB1"/>
    <w:rsid w:val="00F430BD"/>
    <w:rsid w:val="00F43756"/>
    <w:rsid w:val="00F43D14"/>
    <w:rsid w:val="00F45D0B"/>
    <w:rsid w:val="00F51072"/>
    <w:rsid w:val="00F5180E"/>
    <w:rsid w:val="00F51931"/>
    <w:rsid w:val="00F52AB9"/>
    <w:rsid w:val="00F54353"/>
    <w:rsid w:val="00F54D3F"/>
    <w:rsid w:val="00F556A9"/>
    <w:rsid w:val="00F5665C"/>
    <w:rsid w:val="00F570DD"/>
    <w:rsid w:val="00F57162"/>
    <w:rsid w:val="00F57179"/>
    <w:rsid w:val="00F602B3"/>
    <w:rsid w:val="00F60557"/>
    <w:rsid w:val="00F65D63"/>
    <w:rsid w:val="00F662AB"/>
    <w:rsid w:val="00F66E78"/>
    <w:rsid w:val="00F70E7E"/>
    <w:rsid w:val="00F74353"/>
    <w:rsid w:val="00F75579"/>
    <w:rsid w:val="00F76374"/>
    <w:rsid w:val="00F76C4F"/>
    <w:rsid w:val="00F7705F"/>
    <w:rsid w:val="00F774D6"/>
    <w:rsid w:val="00F77550"/>
    <w:rsid w:val="00F82A77"/>
    <w:rsid w:val="00F83058"/>
    <w:rsid w:val="00F83334"/>
    <w:rsid w:val="00F860CB"/>
    <w:rsid w:val="00F87493"/>
    <w:rsid w:val="00F87B49"/>
    <w:rsid w:val="00F87F1B"/>
    <w:rsid w:val="00F92075"/>
    <w:rsid w:val="00F9289E"/>
    <w:rsid w:val="00F93AC6"/>
    <w:rsid w:val="00F9454D"/>
    <w:rsid w:val="00F9484F"/>
    <w:rsid w:val="00F94E3D"/>
    <w:rsid w:val="00F967D4"/>
    <w:rsid w:val="00F9758D"/>
    <w:rsid w:val="00FA0BCF"/>
    <w:rsid w:val="00FA123E"/>
    <w:rsid w:val="00FA1666"/>
    <w:rsid w:val="00FA671D"/>
    <w:rsid w:val="00FA68E7"/>
    <w:rsid w:val="00FA79E3"/>
    <w:rsid w:val="00FA7EFD"/>
    <w:rsid w:val="00FB0716"/>
    <w:rsid w:val="00FB1AB2"/>
    <w:rsid w:val="00FB1C94"/>
    <w:rsid w:val="00FB550F"/>
    <w:rsid w:val="00FB6029"/>
    <w:rsid w:val="00FB6BF5"/>
    <w:rsid w:val="00FC0CD1"/>
    <w:rsid w:val="00FC1A11"/>
    <w:rsid w:val="00FC1D4A"/>
    <w:rsid w:val="00FC2410"/>
    <w:rsid w:val="00FC2CF3"/>
    <w:rsid w:val="00FC3DFF"/>
    <w:rsid w:val="00FC3F15"/>
    <w:rsid w:val="00FC40CF"/>
    <w:rsid w:val="00FC5317"/>
    <w:rsid w:val="00FC6835"/>
    <w:rsid w:val="00FD2AD6"/>
    <w:rsid w:val="00FD2D2F"/>
    <w:rsid w:val="00FD4AD6"/>
    <w:rsid w:val="00FD520C"/>
    <w:rsid w:val="00FD545B"/>
    <w:rsid w:val="00FD54CB"/>
    <w:rsid w:val="00FD5949"/>
    <w:rsid w:val="00FD5B70"/>
    <w:rsid w:val="00FE1DEB"/>
    <w:rsid w:val="00FE2F28"/>
    <w:rsid w:val="00FE32ED"/>
    <w:rsid w:val="00FE58DC"/>
    <w:rsid w:val="00FE6E36"/>
    <w:rsid w:val="00FE7BD7"/>
    <w:rsid w:val="00FF1054"/>
    <w:rsid w:val="00FF2A5B"/>
    <w:rsid w:val="00FF35BB"/>
    <w:rsid w:val="00FF403B"/>
    <w:rsid w:val="00FF4280"/>
    <w:rsid w:val="00FF55A1"/>
    <w:rsid w:val="00FF57B8"/>
    <w:rsid w:val="00FF6454"/>
    <w:rsid w:val="00FF64D2"/>
    <w:rsid w:val="00FF70F7"/>
    <w:rsid w:val="00FF7517"/>
    <w:rsid w:val="00FF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40B22F"/>
  <w15:docId w15:val="{5CFF6F4B-5C65-4E67-956E-879768C85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A13902"/>
    <w:pPr>
      <w:widowControl w:val="0"/>
      <w:autoSpaceDE w:val="0"/>
      <w:autoSpaceDN w:val="0"/>
      <w:spacing w:after="0" w:line="240" w:lineRule="auto"/>
      <w:ind w:left="414"/>
      <w:jc w:val="both"/>
      <w:outlineLvl w:val="0"/>
    </w:pPr>
    <w:rPr>
      <w:rFonts w:ascii="Times New Roman" w:eastAsia="Times New Roman" w:hAnsi="Times New Roman" w:cs="Times New Roman"/>
      <w:b/>
      <w:bCs/>
      <w:u w:val="single" w:color="000000"/>
    </w:rPr>
  </w:style>
  <w:style w:type="paragraph" w:styleId="Heading2">
    <w:name w:val="heading 2"/>
    <w:basedOn w:val="Normal"/>
    <w:link w:val="Heading2Char"/>
    <w:uiPriority w:val="1"/>
    <w:qFormat/>
    <w:rsid w:val="00A13902"/>
    <w:pPr>
      <w:widowControl w:val="0"/>
      <w:autoSpaceDE w:val="0"/>
      <w:autoSpaceDN w:val="0"/>
      <w:spacing w:after="0" w:line="240" w:lineRule="auto"/>
      <w:ind w:left="414"/>
      <w:jc w:val="both"/>
      <w:outlineLvl w:val="1"/>
    </w:pPr>
    <w:rPr>
      <w:rFonts w:ascii="Times New Roman" w:eastAsia="Times New Roman" w:hAnsi="Times New Roman" w:cs="Times New Roman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3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24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C40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4087"/>
  </w:style>
  <w:style w:type="paragraph" w:styleId="Footer">
    <w:name w:val="footer"/>
    <w:basedOn w:val="Normal"/>
    <w:link w:val="FooterChar"/>
    <w:uiPriority w:val="99"/>
    <w:unhideWhenUsed/>
    <w:rsid w:val="008C40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4087"/>
  </w:style>
  <w:style w:type="paragraph" w:styleId="ListParagraph">
    <w:name w:val="List Paragraph"/>
    <w:basedOn w:val="Normal"/>
    <w:link w:val="ListParagraphChar"/>
    <w:uiPriority w:val="34"/>
    <w:qFormat/>
    <w:rsid w:val="00884848"/>
    <w:pPr>
      <w:spacing w:before="240" w:after="200" w:line="240" w:lineRule="auto"/>
      <w:ind w:left="720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88484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884848"/>
    <w:rPr>
      <w:rFonts w:ascii="Calibri" w:eastAsia="Calibri" w:hAnsi="Calibri" w:cs="Times New Roman"/>
    </w:rPr>
  </w:style>
  <w:style w:type="paragraph" w:styleId="FootnoteText">
    <w:name w:val="footnote text"/>
    <w:aliases w:val="single space,footnote text,fn,FOOTNOTES,ft,Fußnote,Footnote,WB-Fußnotentext,WB-Fußnotentext Char Char,Fußnotentext Char,Footnote text,ADB,ADB Char,single space Char Char,Footnote Text Char Char Char Char Char Char Char Char Char Char,ft2"/>
    <w:basedOn w:val="Normal"/>
    <w:link w:val="FootnoteTextChar"/>
    <w:unhideWhenUsed/>
    <w:qFormat/>
    <w:rsid w:val="009C030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single space Char,footnote text Char,fn Char,FOOTNOTES Char,ft Char,Fußnote Char,Footnote Char,WB-Fußnotentext Char,WB-Fußnotentext Char Char Char,Fußnotentext Char Char,Footnote text Char,ADB Char1,ADB Char Char,ft2 Char"/>
    <w:basedOn w:val="DefaultParagraphFont"/>
    <w:link w:val="FootnoteText"/>
    <w:rsid w:val="009C030D"/>
    <w:rPr>
      <w:sz w:val="20"/>
      <w:szCs w:val="20"/>
    </w:rPr>
  </w:style>
  <w:style w:type="character" w:styleId="FootnoteReference">
    <w:name w:val="footnote reference"/>
    <w:aliases w:val="ftref,BVI fnr,Footnote symbol,Footnote reference number,note TESI,16 Point,Superscript 6 Point,Fußnotenzeichen DISS,Char1 Char Char Char Char, Char1 Char Char Char Char,Odwołanie przypisu,Footnote Reference Number,fr"/>
    <w:link w:val="BVIfnrCharCharCharChar"/>
    <w:uiPriority w:val="99"/>
    <w:qFormat/>
    <w:rsid w:val="009C030D"/>
    <w:rPr>
      <w:vertAlign w:val="superscript"/>
    </w:rPr>
  </w:style>
  <w:style w:type="paragraph" w:customStyle="1" w:styleId="BVIfnrCharCharCharChar">
    <w:name w:val="BVI fnr Char Char Char Char"/>
    <w:basedOn w:val="Normal"/>
    <w:link w:val="FootnoteReference"/>
    <w:uiPriority w:val="99"/>
    <w:rsid w:val="001A50A6"/>
    <w:pPr>
      <w:spacing w:line="240" w:lineRule="exact"/>
    </w:pPr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A009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1"/>
    <w:rsid w:val="00A13902"/>
    <w:rPr>
      <w:rFonts w:ascii="Times New Roman" w:eastAsia="Times New Roman" w:hAnsi="Times New Roman" w:cs="Times New Roman"/>
      <w:b/>
      <w:bCs/>
      <w:u w:val="single" w:color="000000"/>
    </w:rPr>
  </w:style>
  <w:style w:type="character" w:customStyle="1" w:styleId="Heading2Char">
    <w:name w:val="Heading 2 Char"/>
    <w:basedOn w:val="DefaultParagraphFont"/>
    <w:link w:val="Heading2"/>
    <w:uiPriority w:val="1"/>
    <w:rsid w:val="00A13902"/>
    <w:rPr>
      <w:rFonts w:ascii="Times New Roman" w:eastAsia="Times New Roman" w:hAnsi="Times New Roman" w:cs="Times New Roman"/>
      <w:b/>
      <w:bCs/>
      <w:i/>
      <w:iCs/>
    </w:rPr>
  </w:style>
  <w:style w:type="paragraph" w:styleId="BodyText">
    <w:name w:val="Body Text"/>
    <w:basedOn w:val="Normal"/>
    <w:link w:val="BodyTextChar"/>
    <w:uiPriority w:val="1"/>
    <w:qFormat/>
    <w:rsid w:val="00A139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A13902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6632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2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2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2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2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7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93276-E803-4720-AEE1-CA2B05B10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21</Pages>
  <Words>8722</Words>
  <Characters>49717</Characters>
  <Application>Microsoft Office Word</Application>
  <DocSecurity>0</DocSecurity>
  <Lines>414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Radmila Milicevic</dc:creator>
  <cp:keywords/>
  <dc:description/>
  <cp:lastModifiedBy>Nada Bozic</cp:lastModifiedBy>
  <cp:revision>41</cp:revision>
  <cp:lastPrinted>2023-08-30T12:32:00Z</cp:lastPrinted>
  <dcterms:created xsi:type="dcterms:W3CDTF">2023-08-07T11:02:00Z</dcterms:created>
  <dcterms:modified xsi:type="dcterms:W3CDTF">2023-09-27T17:08:00Z</dcterms:modified>
</cp:coreProperties>
</file>